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1680" w:firstLineChars="800"/>
        <w:outlineLvl w:val="3"/>
        <w:rPr>
          <w:rFonts w:cs="宋体" w:asciiTheme="minorEastAsia" w:hAnsiTheme="minorEastAsia"/>
          <w:bCs/>
          <w:kern w:val="0"/>
          <w:szCs w:val="21"/>
        </w:rPr>
      </w:pPr>
      <w:bookmarkStart w:id="0" w:name="_GoBack"/>
      <w:bookmarkEnd w:id="0"/>
      <w:r>
        <w:rPr>
          <w:rFonts w:hint="eastAsia" w:cs="宋体" w:asciiTheme="minorEastAsia" w:hAnsiTheme="minorEastAsia"/>
          <w:bCs/>
          <w:kern w:val="0"/>
          <w:szCs w:val="21"/>
        </w:rPr>
        <w:t>锅炉维保及水质监测服务项目项目概况及要求</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一、</w:t>
      </w:r>
      <w:r>
        <w:rPr>
          <w:rFonts w:hint="eastAsia" w:cs="宋体" w:asciiTheme="minorEastAsia" w:hAnsiTheme="minorEastAsia"/>
          <w:b/>
          <w:bCs/>
          <w:kern w:val="0"/>
          <w:szCs w:val="21"/>
        </w:rPr>
        <w:t>项目概况：</w:t>
      </w:r>
      <w:r>
        <w:rPr>
          <w:rFonts w:hint="eastAsia" w:cs="宋体" w:asciiTheme="minorEastAsia" w:hAnsiTheme="minorEastAsia"/>
          <w:bCs/>
          <w:kern w:val="0"/>
          <w:szCs w:val="21"/>
        </w:rPr>
        <w:t>医院目前有锅炉4台（蒸汽锅炉型号：LHS2-1.0-Y.Q 2台，热水锅炉型号：TFZ200-I-Y.Q 2台）需要维修保养。定期对锅炉进行水质化验检测、加药、烟气检测等维护。</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二、</w:t>
      </w:r>
      <w:r>
        <w:rPr>
          <w:rFonts w:hint="eastAsia" w:cs="宋体" w:asciiTheme="minorEastAsia" w:hAnsiTheme="minorEastAsia"/>
          <w:b/>
          <w:bCs/>
          <w:kern w:val="0"/>
          <w:szCs w:val="21"/>
        </w:rPr>
        <w:t>年度维护服务要求：</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1．定期巡检</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A．与设备管理技术人员进行系统的技术交流和工作沟通。</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B．对锅炉故障隐患进行预前检查和排除。</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C．分析调试锅炉运转状况，尽可能使锅炉运行高效节能、安全环保。</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D．每次巡检完成提供巡检报告。</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2．故障处理</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技术工程师24小时服务，保证接到报修通知后即以2小时内赴现场予以高效解决与处理，将故障损失控制在最低限度。每次维修完成，提供完整的故障维修、分析报告。</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3．年度保养（每年四次标准保养）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A．锅炉本体维护保养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打开锅炉各清洁口，观察每台锅炉火侧的积碳和积灰状况，分析产生原因，作出相应的维护保养措施，然后进行相应的清洁、维护保养；检查燃烧筒保温隔热层，根据实际使用状况确定紧固或更换保温隔热层；对锅炉水的检测(一周两次出具化验单)，根据水质情况，对锅炉水进行加药(本次招标包括药剂)，针对每台锅炉的腐蚀和结垢情况，提出改进意见或建议。</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B．燃烧机维护保养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经对燃烧机的拆卸、检查，对燃烧机下列部件做如下维护保养：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⑴清洁燃烧机本体。</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⑵清洗燃烧机喷嘴。</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⑶清洗燃烧机燃气过滤器。</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⑷燃烧机风机及风门伺服机构进行清洁、润滑及紧固检查。</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⑸对伺服机构零位及最大限位调整，使空气蝶板转动准确灵活。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⑹检查电磁阀是否严密。</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⑺打开并吹刷风压开关、风门限位开关、各压力限定器积尘。检查并重新紧固接线端子，手动调零并根据实际运行情况重新调整或调至设定值。</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⑻检查程序控制器的工作程序及每一程序的位置落点是否准确，避免提前点火或置后点火等情况的发生。</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⑼检查并吹刷电离棒表面积灰和老化情况，检查并调整电离棒距火焰的位置，以保障运行过程中接收控制电流及保证中途熄火或点火未成功时控制系统及时切断燃料的供给。</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⑽检查点火电极是否积碳积尘，相对位置是否合理、点火变压器工作状况等。</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C、锅炉控制系统维护保养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对锅炉控制元件做如下维护保养：</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⑴水位限定器、安全温度限定器、最高压力限定器、最低压力限定器、锅炉出水温度传感器，回水温度传感器，烟气温度传感器等进行清洗保养。同时检查配线并其灵敏程度。</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⑵对锅炉控制器进行电器清洁检查，参数设定检查。</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⑶测试锅炉安全链、调节链等调节保护功能的灵敏度和可靠性。</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D、整体调试</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锅炉燃烧系统连锁保护系统的调试：</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燃气压力保护系统</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燃烧点火系统</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燃烧火焰检测保护系统</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燃烧器安全保护连锁系统</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燃烧器各负荷，风、燃料配比系统调整</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超压自动保护系统，报警系统定值设定及调整</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锅炉燃烧器控制参数设定。</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四、委托检验（含检验费用）</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1．完成甲方的锅炉及其安全附件的所有定期检验工作。</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2．拆卸供热系统安全阀，送技术监督局认可的合格的安全阀检验单位校验。校验完毕取得检验合格证，取回安全阀并安装。</w:t>
      </w:r>
    </w:p>
    <w:p>
      <w:pPr>
        <w:shd w:val="clear" w:color="auto" w:fill="FFFFFF"/>
        <w:outlineLvl w:val="3"/>
        <w:rPr>
          <w:rFonts w:cs="宋体" w:asciiTheme="minorEastAsia" w:hAnsiTheme="minorEastAsia"/>
          <w:bCs/>
          <w:kern w:val="0"/>
          <w:szCs w:val="21"/>
        </w:rPr>
      </w:pPr>
      <w:r>
        <w:rPr>
          <w:rFonts w:hint="eastAsia" w:cs="宋体" w:asciiTheme="minorEastAsia" w:hAnsiTheme="minorEastAsia"/>
          <w:bCs/>
          <w:kern w:val="0"/>
          <w:szCs w:val="21"/>
        </w:rPr>
        <w:t>3．拆卸供热系统压力表，送技术监督局认可的合格的压力表检验单位校验。校验完毕取得检验合格证，取回压力表并安装。</w:t>
      </w:r>
    </w:p>
    <w:p>
      <w:pPr>
        <w:pStyle w:val="4"/>
        <w:rPr>
          <w:rFonts w:asciiTheme="minorEastAsia" w:hAnsiTheme="minorEastAsia" w:eastAsiaTheme="minorEastAsia"/>
          <w:szCs w:val="21"/>
        </w:rPr>
      </w:pPr>
      <w:r>
        <w:rPr>
          <w:rFonts w:hint="eastAsia" w:asciiTheme="minorEastAsia" w:hAnsiTheme="minorEastAsia" w:eastAsiaTheme="minorEastAsia"/>
          <w:szCs w:val="21"/>
        </w:rPr>
        <w:t xml:space="preserve">五、考核：   </w:t>
      </w:r>
    </w:p>
    <w:p>
      <w:pPr>
        <w:jc w:val="center"/>
      </w:pPr>
      <w:r>
        <w:rPr>
          <w:rFonts w:hint="eastAsia"/>
        </w:rPr>
        <w:t>锅炉维保季度考核表</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42"/>
        <w:gridCol w:w="1276"/>
        <w:gridCol w:w="1417"/>
        <w:gridCol w:w="709"/>
        <w:gridCol w:w="709"/>
        <w:gridCol w:w="203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gridSpan w:val="2"/>
            <w:vAlign w:val="center"/>
          </w:tcPr>
          <w:p>
            <w:pPr>
              <w:jc w:val="center"/>
            </w:pPr>
            <w:r>
              <w:rPr>
                <w:rFonts w:hint="eastAsia"/>
              </w:rPr>
              <w:t>序号</w:t>
            </w:r>
          </w:p>
        </w:tc>
        <w:tc>
          <w:tcPr>
            <w:tcW w:w="1276" w:type="dxa"/>
            <w:vAlign w:val="center"/>
          </w:tcPr>
          <w:p>
            <w:pPr>
              <w:jc w:val="center"/>
            </w:pPr>
            <w:r>
              <w:rPr>
                <w:rFonts w:hint="eastAsia"/>
              </w:rPr>
              <w:t>量化项目</w:t>
            </w:r>
          </w:p>
        </w:tc>
        <w:tc>
          <w:tcPr>
            <w:tcW w:w="1417" w:type="dxa"/>
            <w:vAlign w:val="center"/>
          </w:tcPr>
          <w:p>
            <w:pPr>
              <w:jc w:val="center"/>
            </w:pPr>
            <w:r>
              <w:rPr>
                <w:rFonts w:hint="eastAsia"/>
              </w:rPr>
              <w:t>考核指标</w:t>
            </w:r>
          </w:p>
        </w:tc>
        <w:tc>
          <w:tcPr>
            <w:tcW w:w="709" w:type="dxa"/>
            <w:vAlign w:val="center"/>
          </w:tcPr>
          <w:p>
            <w:pPr>
              <w:jc w:val="center"/>
            </w:pPr>
            <w:r>
              <w:rPr>
                <w:rFonts w:hint="eastAsia"/>
              </w:rPr>
              <w:t>权重</w:t>
            </w:r>
          </w:p>
        </w:tc>
        <w:tc>
          <w:tcPr>
            <w:tcW w:w="2740" w:type="dxa"/>
            <w:gridSpan w:val="2"/>
            <w:vAlign w:val="center"/>
          </w:tcPr>
          <w:p>
            <w:pPr>
              <w:jc w:val="center"/>
            </w:pPr>
            <w:r>
              <w:rPr>
                <w:rFonts w:hint="eastAsia"/>
              </w:rPr>
              <w:t>评分标准</w:t>
            </w:r>
          </w:p>
        </w:tc>
        <w:tc>
          <w:tcPr>
            <w:tcW w:w="1421" w:type="dxa"/>
            <w:vAlign w:val="center"/>
          </w:tcPr>
          <w:p>
            <w:pPr>
              <w:jc w:val="center"/>
            </w:pPr>
            <w:r>
              <w:rPr>
                <w:rFonts w:hint="eastAsia"/>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gridSpan w:val="2"/>
            <w:vMerge w:val="restart"/>
            <w:vAlign w:val="center"/>
          </w:tcPr>
          <w:p>
            <w:pPr>
              <w:jc w:val="center"/>
            </w:pPr>
            <w:r>
              <w:rPr>
                <w:rFonts w:hint="eastAsia"/>
              </w:rPr>
              <w:t>1</w:t>
            </w:r>
          </w:p>
        </w:tc>
        <w:tc>
          <w:tcPr>
            <w:tcW w:w="1276" w:type="dxa"/>
            <w:vMerge w:val="restart"/>
            <w:vAlign w:val="center"/>
          </w:tcPr>
          <w:p>
            <w:pPr>
              <w:jc w:val="center"/>
            </w:pPr>
            <w:r>
              <w:rPr>
                <w:rFonts w:hint="eastAsia"/>
              </w:rPr>
              <w:t>维保质量</w:t>
            </w:r>
          </w:p>
        </w:tc>
        <w:tc>
          <w:tcPr>
            <w:tcW w:w="1417" w:type="dxa"/>
            <w:vAlign w:val="center"/>
          </w:tcPr>
          <w:p>
            <w:pPr>
              <w:jc w:val="center"/>
            </w:pPr>
            <w:r>
              <w:rPr>
                <w:rFonts w:hint="eastAsia"/>
              </w:rPr>
              <w:t>维护保养方案、质量</w:t>
            </w:r>
          </w:p>
        </w:tc>
        <w:tc>
          <w:tcPr>
            <w:tcW w:w="709" w:type="dxa"/>
            <w:vAlign w:val="center"/>
          </w:tcPr>
          <w:p>
            <w:pPr>
              <w:jc w:val="center"/>
            </w:pPr>
            <w:r>
              <w:rPr>
                <w:rFonts w:hint="eastAsia"/>
              </w:rPr>
              <w:t>20</w:t>
            </w:r>
          </w:p>
        </w:tc>
        <w:tc>
          <w:tcPr>
            <w:tcW w:w="2740" w:type="dxa"/>
            <w:gridSpan w:val="2"/>
            <w:vAlign w:val="center"/>
          </w:tcPr>
          <w:p>
            <w:pPr>
              <w:jc w:val="center"/>
            </w:pPr>
            <w:r>
              <w:rPr>
                <w:rFonts w:hint="eastAsia"/>
              </w:rPr>
              <w:t>维保单位是否按要求对锅炉进行水质化验检测、加药、烟气检测等维护，院方根据实际维保完成质量进行打分</w:t>
            </w:r>
          </w:p>
        </w:tc>
        <w:tc>
          <w:tcPr>
            <w:tcW w:w="142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gridSpan w:val="2"/>
            <w:vMerge w:val="continue"/>
            <w:vAlign w:val="center"/>
          </w:tcPr>
          <w:p>
            <w:pPr>
              <w:jc w:val="center"/>
            </w:pPr>
          </w:p>
        </w:tc>
        <w:tc>
          <w:tcPr>
            <w:tcW w:w="1276" w:type="dxa"/>
            <w:vMerge w:val="continue"/>
            <w:vAlign w:val="center"/>
          </w:tcPr>
          <w:p>
            <w:pPr>
              <w:jc w:val="center"/>
            </w:pPr>
          </w:p>
        </w:tc>
        <w:tc>
          <w:tcPr>
            <w:tcW w:w="1417" w:type="dxa"/>
            <w:vAlign w:val="center"/>
          </w:tcPr>
          <w:p>
            <w:pPr>
              <w:jc w:val="center"/>
            </w:pPr>
            <w:r>
              <w:rPr>
                <w:rFonts w:hint="eastAsia"/>
              </w:rPr>
              <w:t>维护保养及时性</w:t>
            </w:r>
          </w:p>
        </w:tc>
        <w:tc>
          <w:tcPr>
            <w:tcW w:w="709" w:type="dxa"/>
            <w:vAlign w:val="center"/>
          </w:tcPr>
          <w:p>
            <w:pPr>
              <w:jc w:val="center"/>
            </w:pPr>
            <w:r>
              <w:rPr>
                <w:rFonts w:hint="eastAsia"/>
              </w:rPr>
              <w:t>20</w:t>
            </w:r>
          </w:p>
        </w:tc>
        <w:tc>
          <w:tcPr>
            <w:tcW w:w="2740" w:type="dxa"/>
            <w:gridSpan w:val="2"/>
            <w:vAlign w:val="center"/>
          </w:tcPr>
          <w:p>
            <w:pPr>
              <w:jc w:val="center"/>
            </w:pPr>
            <w:r>
              <w:rPr>
                <w:rFonts w:hint="eastAsia"/>
              </w:rPr>
              <w:t>根据故障优先级处理标准要求，超过时限一次减5分</w:t>
            </w:r>
          </w:p>
        </w:tc>
        <w:tc>
          <w:tcPr>
            <w:tcW w:w="142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gridSpan w:val="2"/>
            <w:vAlign w:val="center"/>
          </w:tcPr>
          <w:p>
            <w:pPr>
              <w:jc w:val="center"/>
            </w:pPr>
            <w:r>
              <w:rPr>
                <w:rFonts w:hint="eastAsia"/>
              </w:rPr>
              <w:t>2</w:t>
            </w:r>
          </w:p>
        </w:tc>
        <w:tc>
          <w:tcPr>
            <w:tcW w:w="1276" w:type="dxa"/>
            <w:vAlign w:val="center"/>
          </w:tcPr>
          <w:p>
            <w:pPr>
              <w:jc w:val="center"/>
            </w:pPr>
            <w:r>
              <w:rPr>
                <w:rFonts w:hint="eastAsia"/>
              </w:rPr>
              <w:t>维保完成度</w:t>
            </w:r>
          </w:p>
        </w:tc>
        <w:tc>
          <w:tcPr>
            <w:tcW w:w="1417" w:type="dxa"/>
            <w:vAlign w:val="center"/>
          </w:tcPr>
          <w:p>
            <w:pPr>
              <w:jc w:val="center"/>
            </w:pPr>
            <w:r>
              <w:rPr>
                <w:rFonts w:hint="eastAsia"/>
              </w:rPr>
              <w:t>按维保周期计划对设备进行检查、维护、保养</w:t>
            </w:r>
          </w:p>
        </w:tc>
        <w:tc>
          <w:tcPr>
            <w:tcW w:w="709" w:type="dxa"/>
            <w:vAlign w:val="center"/>
          </w:tcPr>
          <w:p>
            <w:pPr>
              <w:jc w:val="center"/>
            </w:pPr>
            <w:r>
              <w:rPr>
                <w:rFonts w:hint="eastAsia"/>
              </w:rPr>
              <w:t>30</w:t>
            </w:r>
          </w:p>
        </w:tc>
        <w:tc>
          <w:tcPr>
            <w:tcW w:w="2740" w:type="dxa"/>
            <w:gridSpan w:val="2"/>
            <w:vAlign w:val="center"/>
          </w:tcPr>
          <w:p>
            <w:pPr>
              <w:jc w:val="center"/>
            </w:pPr>
            <w:r>
              <w:rPr>
                <w:rFonts w:hint="eastAsia"/>
              </w:rPr>
              <w:t>未按周期检查、维护、保养，每出现一次扣5分；出现长期无法解决的问题，减10分</w:t>
            </w:r>
          </w:p>
        </w:tc>
        <w:tc>
          <w:tcPr>
            <w:tcW w:w="142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gridSpan w:val="2"/>
            <w:vAlign w:val="center"/>
          </w:tcPr>
          <w:p>
            <w:pPr>
              <w:jc w:val="center"/>
            </w:pPr>
            <w:r>
              <w:rPr>
                <w:rFonts w:hint="eastAsia"/>
              </w:rPr>
              <w:t>3</w:t>
            </w:r>
          </w:p>
        </w:tc>
        <w:tc>
          <w:tcPr>
            <w:tcW w:w="1276" w:type="dxa"/>
            <w:vAlign w:val="center"/>
          </w:tcPr>
          <w:p>
            <w:pPr>
              <w:jc w:val="center"/>
            </w:pPr>
            <w:r>
              <w:rPr>
                <w:rFonts w:hint="eastAsia"/>
              </w:rPr>
              <w:t>档案管理</w:t>
            </w:r>
          </w:p>
        </w:tc>
        <w:tc>
          <w:tcPr>
            <w:tcW w:w="1417" w:type="dxa"/>
            <w:vAlign w:val="center"/>
          </w:tcPr>
          <w:p>
            <w:pPr>
              <w:jc w:val="center"/>
            </w:pPr>
            <w:r>
              <w:rPr>
                <w:rFonts w:hint="eastAsia"/>
              </w:rPr>
              <w:t>文档完整性、正确性</w:t>
            </w:r>
          </w:p>
        </w:tc>
        <w:tc>
          <w:tcPr>
            <w:tcW w:w="709" w:type="dxa"/>
            <w:vAlign w:val="center"/>
          </w:tcPr>
          <w:p>
            <w:pPr>
              <w:jc w:val="center"/>
            </w:pPr>
            <w:r>
              <w:rPr>
                <w:rFonts w:hint="eastAsia"/>
              </w:rPr>
              <w:t>20</w:t>
            </w:r>
          </w:p>
        </w:tc>
        <w:tc>
          <w:tcPr>
            <w:tcW w:w="2740" w:type="dxa"/>
            <w:gridSpan w:val="2"/>
            <w:vAlign w:val="center"/>
          </w:tcPr>
          <w:p>
            <w:pPr>
              <w:jc w:val="center"/>
            </w:pPr>
            <w:r>
              <w:rPr>
                <w:rFonts w:hint="eastAsia"/>
              </w:rPr>
              <w:t>是否提供完整的巡检报告；每次完成维修是否提供完整的故障维修、分析报告，文档不完整或错误各减5分</w:t>
            </w:r>
          </w:p>
        </w:tc>
        <w:tc>
          <w:tcPr>
            <w:tcW w:w="142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gridSpan w:val="2"/>
            <w:vAlign w:val="center"/>
          </w:tcPr>
          <w:p>
            <w:pPr>
              <w:jc w:val="center"/>
            </w:pPr>
            <w:r>
              <w:rPr>
                <w:rFonts w:hint="eastAsia"/>
              </w:rPr>
              <w:t>4</w:t>
            </w:r>
          </w:p>
        </w:tc>
        <w:tc>
          <w:tcPr>
            <w:tcW w:w="1276" w:type="dxa"/>
            <w:vAlign w:val="center"/>
          </w:tcPr>
          <w:p>
            <w:pPr>
              <w:jc w:val="center"/>
            </w:pPr>
            <w:r>
              <w:rPr>
                <w:rFonts w:hint="eastAsia"/>
              </w:rPr>
              <w:t>团队协作</w:t>
            </w:r>
          </w:p>
        </w:tc>
        <w:tc>
          <w:tcPr>
            <w:tcW w:w="1417" w:type="dxa"/>
            <w:vAlign w:val="center"/>
          </w:tcPr>
          <w:p>
            <w:pPr>
              <w:jc w:val="center"/>
            </w:pPr>
            <w:r>
              <w:rPr>
                <w:rFonts w:hint="eastAsia"/>
              </w:rPr>
              <w:t>维保人员与院内相处融洽，对工作积极不推诿</w:t>
            </w:r>
          </w:p>
        </w:tc>
        <w:tc>
          <w:tcPr>
            <w:tcW w:w="709" w:type="dxa"/>
            <w:vAlign w:val="center"/>
          </w:tcPr>
          <w:p>
            <w:pPr>
              <w:jc w:val="center"/>
            </w:pPr>
            <w:r>
              <w:rPr>
                <w:rFonts w:hint="eastAsia"/>
              </w:rPr>
              <w:t>10</w:t>
            </w:r>
          </w:p>
        </w:tc>
        <w:tc>
          <w:tcPr>
            <w:tcW w:w="2740" w:type="dxa"/>
            <w:gridSpan w:val="2"/>
            <w:vAlign w:val="center"/>
          </w:tcPr>
          <w:p>
            <w:pPr>
              <w:jc w:val="center"/>
            </w:pPr>
            <w:r>
              <w:rPr>
                <w:rFonts w:hint="eastAsia"/>
              </w:rPr>
              <w:t>团队协作良好，工作不相互推诿，否则有其中任何一项，扣5分</w:t>
            </w:r>
          </w:p>
        </w:tc>
        <w:tc>
          <w:tcPr>
            <w:tcW w:w="142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4" w:hRule="atLeast"/>
          <w:jc w:val="center"/>
        </w:trPr>
        <w:tc>
          <w:tcPr>
            <w:tcW w:w="8522" w:type="dxa"/>
            <w:gridSpan w:val="8"/>
            <w:vAlign w:val="center"/>
          </w:tcPr>
          <w:p>
            <w:pPr>
              <w:jc w:val="center"/>
            </w:pPr>
            <w:r>
              <w:rPr>
                <w:rFonts w:hint="eastAsia"/>
              </w:rPr>
              <w:t>量化考核得分（合格：≥90分）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2235" w:type="dxa"/>
            <w:gridSpan w:val="3"/>
            <w:vAlign w:val="center"/>
          </w:tcPr>
          <w:p>
            <w:pPr>
              <w:jc w:val="center"/>
            </w:pPr>
            <w:r>
              <w:rPr>
                <w:rFonts w:hint="eastAsia"/>
              </w:rPr>
              <w:t>考核周期</w:t>
            </w:r>
          </w:p>
        </w:tc>
        <w:tc>
          <w:tcPr>
            <w:tcW w:w="6287" w:type="dxa"/>
            <w:gridSpan w:val="5"/>
            <w:vAlign w:val="center"/>
          </w:tcPr>
          <w:p>
            <w:pPr>
              <w:jc w:val="center"/>
            </w:pPr>
            <w:r>
              <w:rPr>
                <w:rFonts w:hint="eastAsia"/>
              </w:rPr>
              <w:t>考核表每季度填写一份，年度考核按季平均分计算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35" w:type="dxa"/>
            <w:gridSpan w:val="3"/>
            <w:vAlign w:val="center"/>
          </w:tcPr>
          <w:p>
            <w:pPr>
              <w:jc w:val="center"/>
            </w:pPr>
            <w:r>
              <w:rPr>
                <w:rFonts w:hint="eastAsia"/>
              </w:rPr>
              <w:t>考核说明</w:t>
            </w:r>
          </w:p>
        </w:tc>
        <w:tc>
          <w:tcPr>
            <w:tcW w:w="6287" w:type="dxa"/>
            <w:gridSpan w:val="5"/>
            <w:vAlign w:val="center"/>
          </w:tcPr>
          <w:p>
            <w:pPr>
              <w:jc w:val="center"/>
            </w:pPr>
            <w:r>
              <w:rPr>
                <w:rFonts w:hint="eastAsia"/>
              </w:rPr>
              <w:t>在对维保服务人员进行考核时，将考虑到导致指标无效的不同情况，避免一刀切影响绩效考核的公正性：如果在考核期内遇到不可抗拒因素导致系统服务或者网络无法运行而影响正常办公，将不计入考核表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被考核人</w:t>
            </w:r>
          </w:p>
        </w:tc>
        <w:tc>
          <w:tcPr>
            <w:tcW w:w="2835" w:type="dxa"/>
            <w:gridSpan w:val="3"/>
            <w:vAlign w:val="center"/>
          </w:tcPr>
          <w:p>
            <w:pPr>
              <w:jc w:val="center"/>
            </w:pPr>
          </w:p>
        </w:tc>
        <w:tc>
          <w:tcPr>
            <w:tcW w:w="1418" w:type="dxa"/>
            <w:gridSpan w:val="2"/>
            <w:vAlign w:val="center"/>
          </w:tcPr>
          <w:p>
            <w:pPr>
              <w:jc w:val="center"/>
            </w:pPr>
            <w:r>
              <w:rPr>
                <w:rFonts w:hint="eastAsia"/>
              </w:rPr>
              <w:t>审核人签字</w:t>
            </w:r>
          </w:p>
        </w:tc>
        <w:tc>
          <w:tcPr>
            <w:tcW w:w="3452"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817" w:type="dxa"/>
            <w:vAlign w:val="center"/>
          </w:tcPr>
          <w:p>
            <w:pPr>
              <w:jc w:val="center"/>
            </w:pPr>
            <w:r>
              <w:rPr>
                <w:rFonts w:hint="eastAsia"/>
              </w:rPr>
              <w:t>日期</w:t>
            </w:r>
          </w:p>
        </w:tc>
        <w:tc>
          <w:tcPr>
            <w:tcW w:w="2835" w:type="dxa"/>
            <w:gridSpan w:val="3"/>
            <w:vAlign w:val="center"/>
          </w:tcPr>
          <w:p>
            <w:pPr>
              <w:jc w:val="center"/>
            </w:pPr>
          </w:p>
        </w:tc>
        <w:tc>
          <w:tcPr>
            <w:tcW w:w="1418" w:type="dxa"/>
            <w:gridSpan w:val="2"/>
            <w:vAlign w:val="center"/>
          </w:tcPr>
          <w:p>
            <w:pPr>
              <w:jc w:val="center"/>
            </w:pPr>
            <w:r>
              <w:rPr>
                <w:rFonts w:hint="eastAsia"/>
              </w:rPr>
              <w:t>审核日期</w:t>
            </w:r>
          </w:p>
        </w:tc>
        <w:tc>
          <w:tcPr>
            <w:tcW w:w="3452" w:type="dxa"/>
            <w:gridSpan w:val="2"/>
            <w:vAlign w:val="center"/>
          </w:tcPr>
          <w:p>
            <w:pPr>
              <w:jc w:val="center"/>
            </w:pPr>
          </w:p>
        </w:tc>
      </w:tr>
    </w:tbl>
    <w:p>
      <w:pPr>
        <w:rPr>
          <w:rFonts w:asciiTheme="minorEastAsia" w:hAnsiTheme="minorEastAsia"/>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5A"/>
    <w:rsid w:val="00016978"/>
    <w:rsid w:val="00017511"/>
    <w:rsid w:val="00023E04"/>
    <w:rsid w:val="00027B20"/>
    <w:rsid w:val="0003556C"/>
    <w:rsid w:val="00051EA9"/>
    <w:rsid w:val="000641A3"/>
    <w:rsid w:val="0006422C"/>
    <w:rsid w:val="00064CA1"/>
    <w:rsid w:val="0006677E"/>
    <w:rsid w:val="00067E76"/>
    <w:rsid w:val="0008531E"/>
    <w:rsid w:val="00087804"/>
    <w:rsid w:val="0009376C"/>
    <w:rsid w:val="000A3668"/>
    <w:rsid w:val="000E1E31"/>
    <w:rsid w:val="00112789"/>
    <w:rsid w:val="00114CD7"/>
    <w:rsid w:val="00122888"/>
    <w:rsid w:val="00157EEA"/>
    <w:rsid w:val="00187C6D"/>
    <w:rsid w:val="001A06A1"/>
    <w:rsid w:val="001A1931"/>
    <w:rsid w:val="001A2FF2"/>
    <w:rsid w:val="001A35DB"/>
    <w:rsid w:val="001A714F"/>
    <w:rsid w:val="001C14B3"/>
    <w:rsid w:val="001C7037"/>
    <w:rsid w:val="001D0E9B"/>
    <w:rsid w:val="001D3EB6"/>
    <w:rsid w:val="001E2990"/>
    <w:rsid w:val="001E55C5"/>
    <w:rsid w:val="001F202E"/>
    <w:rsid w:val="001F2E01"/>
    <w:rsid w:val="0021455D"/>
    <w:rsid w:val="00224E3E"/>
    <w:rsid w:val="00231E2F"/>
    <w:rsid w:val="00233D95"/>
    <w:rsid w:val="002421B1"/>
    <w:rsid w:val="0024654E"/>
    <w:rsid w:val="002817DC"/>
    <w:rsid w:val="00292F9E"/>
    <w:rsid w:val="002957A5"/>
    <w:rsid w:val="002A075C"/>
    <w:rsid w:val="002B5631"/>
    <w:rsid w:val="002E1D39"/>
    <w:rsid w:val="002F395A"/>
    <w:rsid w:val="00322377"/>
    <w:rsid w:val="0033189E"/>
    <w:rsid w:val="00345CF4"/>
    <w:rsid w:val="00347A88"/>
    <w:rsid w:val="00383966"/>
    <w:rsid w:val="00390EA3"/>
    <w:rsid w:val="003B48B8"/>
    <w:rsid w:val="003C36D5"/>
    <w:rsid w:val="003C66C6"/>
    <w:rsid w:val="003D0BB3"/>
    <w:rsid w:val="003D10F7"/>
    <w:rsid w:val="003E02C8"/>
    <w:rsid w:val="003F22AD"/>
    <w:rsid w:val="00433FB7"/>
    <w:rsid w:val="00447CCD"/>
    <w:rsid w:val="004519B5"/>
    <w:rsid w:val="00464B74"/>
    <w:rsid w:val="00485198"/>
    <w:rsid w:val="0049298B"/>
    <w:rsid w:val="00497753"/>
    <w:rsid w:val="004A0DF8"/>
    <w:rsid w:val="004A1A55"/>
    <w:rsid w:val="004A4E26"/>
    <w:rsid w:val="004D30B7"/>
    <w:rsid w:val="004D66B0"/>
    <w:rsid w:val="004E7CB4"/>
    <w:rsid w:val="004F51D4"/>
    <w:rsid w:val="0050145B"/>
    <w:rsid w:val="0050295D"/>
    <w:rsid w:val="00504232"/>
    <w:rsid w:val="00511B60"/>
    <w:rsid w:val="0051719D"/>
    <w:rsid w:val="005369FC"/>
    <w:rsid w:val="005374B5"/>
    <w:rsid w:val="00541F34"/>
    <w:rsid w:val="00543DB7"/>
    <w:rsid w:val="005577BC"/>
    <w:rsid w:val="00570646"/>
    <w:rsid w:val="005739A6"/>
    <w:rsid w:val="005800FE"/>
    <w:rsid w:val="00585C55"/>
    <w:rsid w:val="00590A17"/>
    <w:rsid w:val="00592C7A"/>
    <w:rsid w:val="005B2E06"/>
    <w:rsid w:val="005B308F"/>
    <w:rsid w:val="005B3EEB"/>
    <w:rsid w:val="005C1524"/>
    <w:rsid w:val="005D10A0"/>
    <w:rsid w:val="005E2706"/>
    <w:rsid w:val="005E2C1B"/>
    <w:rsid w:val="005F0556"/>
    <w:rsid w:val="005F572F"/>
    <w:rsid w:val="005F5FB9"/>
    <w:rsid w:val="00603D4B"/>
    <w:rsid w:val="00610A81"/>
    <w:rsid w:val="00623BF1"/>
    <w:rsid w:val="00641463"/>
    <w:rsid w:val="00647F39"/>
    <w:rsid w:val="00651E3B"/>
    <w:rsid w:val="00666C2A"/>
    <w:rsid w:val="00685FD7"/>
    <w:rsid w:val="006A166F"/>
    <w:rsid w:val="006A626E"/>
    <w:rsid w:val="006D50E2"/>
    <w:rsid w:val="006D747D"/>
    <w:rsid w:val="006E50E2"/>
    <w:rsid w:val="006F131D"/>
    <w:rsid w:val="00704A9D"/>
    <w:rsid w:val="00706E69"/>
    <w:rsid w:val="00732686"/>
    <w:rsid w:val="007364F3"/>
    <w:rsid w:val="00790DBB"/>
    <w:rsid w:val="007E3077"/>
    <w:rsid w:val="008006B4"/>
    <w:rsid w:val="00830318"/>
    <w:rsid w:val="00831F44"/>
    <w:rsid w:val="008329BB"/>
    <w:rsid w:val="00852032"/>
    <w:rsid w:val="00882717"/>
    <w:rsid w:val="00886509"/>
    <w:rsid w:val="008A0B4D"/>
    <w:rsid w:val="008B7709"/>
    <w:rsid w:val="008C69C5"/>
    <w:rsid w:val="008E01A4"/>
    <w:rsid w:val="008F1314"/>
    <w:rsid w:val="00900D63"/>
    <w:rsid w:val="00902FDF"/>
    <w:rsid w:val="00912033"/>
    <w:rsid w:val="009139A3"/>
    <w:rsid w:val="009159CF"/>
    <w:rsid w:val="00923E84"/>
    <w:rsid w:val="0094753E"/>
    <w:rsid w:val="00950EFA"/>
    <w:rsid w:val="00955D28"/>
    <w:rsid w:val="00963D9D"/>
    <w:rsid w:val="009673CD"/>
    <w:rsid w:val="00971F99"/>
    <w:rsid w:val="00980485"/>
    <w:rsid w:val="009967D8"/>
    <w:rsid w:val="00996E4B"/>
    <w:rsid w:val="009A5F1F"/>
    <w:rsid w:val="009A6C66"/>
    <w:rsid w:val="009C72E1"/>
    <w:rsid w:val="009C7960"/>
    <w:rsid w:val="009E42E2"/>
    <w:rsid w:val="009E4CC8"/>
    <w:rsid w:val="009F5DD0"/>
    <w:rsid w:val="00A00413"/>
    <w:rsid w:val="00A01A50"/>
    <w:rsid w:val="00A138F0"/>
    <w:rsid w:val="00A24745"/>
    <w:rsid w:val="00A47B24"/>
    <w:rsid w:val="00A61351"/>
    <w:rsid w:val="00A658D5"/>
    <w:rsid w:val="00A878DB"/>
    <w:rsid w:val="00AB01B2"/>
    <w:rsid w:val="00AB177E"/>
    <w:rsid w:val="00AB2F99"/>
    <w:rsid w:val="00AC243B"/>
    <w:rsid w:val="00AC757B"/>
    <w:rsid w:val="00B041F1"/>
    <w:rsid w:val="00B050F0"/>
    <w:rsid w:val="00B14062"/>
    <w:rsid w:val="00B14299"/>
    <w:rsid w:val="00B519F7"/>
    <w:rsid w:val="00B527E9"/>
    <w:rsid w:val="00B57BA1"/>
    <w:rsid w:val="00B657A2"/>
    <w:rsid w:val="00B74F57"/>
    <w:rsid w:val="00BB69C2"/>
    <w:rsid w:val="00BB6C61"/>
    <w:rsid w:val="00BD191B"/>
    <w:rsid w:val="00C01577"/>
    <w:rsid w:val="00C329A3"/>
    <w:rsid w:val="00C35DEB"/>
    <w:rsid w:val="00C37903"/>
    <w:rsid w:val="00C45408"/>
    <w:rsid w:val="00C736CB"/>
    <w:rsid w:val="00C8558A"/>
    <w:rsid w:val="00C931A5"/>
    <w:rsid w:val="00C94778"/>
    <w:rsid w:val="00CA1A39"/>
    <w:rsid w:val="00CA2AA1"/>
    <w:rsid w:val="00CB17AA"/>
    <w:rsid w:val="00CD6BE9"/>
    <w:rsid w:val="00CE00AC"/>
    <w:rsid w:val="00CF72BC"/>
    <w:rsid w:val="00D070ED"/>
    <w:rsid w:val="00D15706"/>
    <w:rsid w:val="00D34A77"/>
    <w:rsid w:val="00D42B0F"/>
    <w:rsid w:val="00D516AA"/>
    <w:rsid w:val="00D565E4"/>
    <w:rsid w:val="00D9223A"/>
    <w:rsid w:val="00DB18E3"/>
    <w:rsid w:val="00DC09F6"/>
    <w:rsid w:val="00DD76F6"/>
    <w:rsid w:val="00E01A95"/>
    <w:rsid w:val="00E15858"/>
    <w:rsid w:val="00E33B15"/>
    <w:rsid w:val="00E34B78"/>
    <w:rsid w:val="00E53CB1"/>
    <w:rsid w:val="00E56B0E"/>
    <w:rsid w:val="00E66E47"/>
    <w:rsid w:val="00EA21D8"/>
    <w:rsid w:val="00EA4880"/>
    <w:rsid w:val="00EA6802"/>
    <w:rsid w:val="00EB37FB"/>
    <w:rsid w:val="00EB3B36"/>
    <w:rsid w:val="00EE7048"/>
    <w:rsid w:val="00EF0515"/>
    <w:rsid w:val="00F22CCD"/>
    <w:rsid w:val="00F31409"/>
    <w:rsid w:val="00F36C18"/>
    <w:rsid w:val="00F47547"/>
    <w:rsid w:val="00F50AAB"/>
    <w:rsid w:val="00F60E42"/>
    <w:rsid w:val="00F61194"/>
    <w:rsid w:val="00F83B55"/>
    <w:rsid w:val="00FA295A"/>
    <w:rsid w:val="00FA7B75"/>
    <w:rsid w:val="00FE0769"/>
    <w:rsid w:val="00FE5DD8"/>
    <w:rsid w:val="00FF51AF"/>
    <w:rsid w:val="01FD2AF4"/>
    <w:rsid w:val="02300E9F"/>
    <w:rsid w:val="0A8B097F"/>
    <w:rsid w:val="0DCE4AB9"/>
    <w:rsid w:val="114E2FCA"/>
    <w:rsid w:val="129B2088"/>
    <w:rsid w:val="1B565C0E"/>
    <w:rsid w:val="2E7D6B1F"/>
    <w:rsid w:val="44166CF2"/>
    <w:rsid w:val="46ED118E"/>
    <w:rsid w:val="474A16E9"/>
    <w:rsid w:val="543E7080"/>
    <w:rsid w:val="54BD06D9"/>
    <w:rsid w:val="5C3647C7"/>
    <w:rsid w:val="5E254EF8"/>
    <w:rsid w:val="651B52F3"/>
    <w:rsid w:val="65407152"/>
    <w:rsid w:val="6C540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link w:val="21"/>
    <w:qFormat/>
    <w:uiPriority w:val="0"/>
    <w:rPr>
      <w:rFonts w:ascii="宋体" w:hAnsi="Courier New" w:eastAsia="宋体" w:cs="Times New Roman"/>
      <w:kern w:val="0"/>
      <w:szCs w:val="20"/>
    </w:rPr>
  </w:style>
  <w:style w:type="paragraph" w:styleId="5">
    <w:name w:val="Date"/>
    <w:basedOn w:val="1"/>
    <w:next w:val="1"/>
    <w:link w:val="2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4 Char"/>
    <w:basedOn w:val="11"/>
    <w:link w:val="3"/>
    <w:qFormat/>
    <w:uiPriority w:val="9"/>
    <w:rPr>
      <w:rFonts w:ascii="宋体" w:hAnsi="宋体" w:eastAsia="宋体" w:cs="宋体"/>
      <w:b/>
      <w:bCs/>
      <w:kern w:val="0"/>
      <w:sz w:val="24"/>
      <w:szCs w:val="24"/>
    </w:rPr>
  </w:style>
  <w:style w:type="character" w:customStyle="1" w:styleId="17">
    <w:name w:val="标题 1 Char"/>
    <w:basedOn w:val="11"/>
    <w:link w:val="2"/>
    <w:qFormat/>
    <w:uiPriority w:val="9"/>
    <w:rPr>
      <w:b/>
      <w:bCs/>
      <w:kern w:val="44"/>
      <w:sz w:val="44"/>
      <w:szCs w:val="44"/>
    </w:rPr>
  </w:style>
  <w:style w:type="character" w:customStyle="1" w:styleId="18">
    <w:name w:val="apple-converted-space"/>
    <w:basedOn w:val="11"/>
    <w:qFormat/>
    <w:uiPriority w:val="0"/>
  </w:style>
  <w:style w:type="character" w:customStyle="1" w:styleId="19">
    <w:name w:val="列出段落 Char"/>
    <w:link w:val="20"/>
    <w:qFormat/>
    <w:uiPriority w:val="0"/>
    <w:rPr>
      <w:color w:val="000000"/>
      <w:sz w:val="24"/>
      <w:szCs w:val="24"/>
    </w:rPr>
  </w:style>
  <w:style w:type="paragraph" w:customStyle="1" w:styleId="20">
    <w:name w:val="列出段落1"/>
    <w:basedOn w:val="1"/>
    <w:link w:val="19"/>
    <w:qFormat/>
    <w:uiPriority w:val="0"/>
    <w:pPr>
      <w:spacing w:line="360" w:lineRule="auto"/>
      <w:ind w:firstLine="420" w:firstLineChars="200"/>
    </w:pPr>
    <w:rPr>
      <w:color w:val="000000"/>
      <w:sz w:val="24"/>
      <w:szCs w:val="24"/>
    </w:rPr>
  </w:style>
  <w:style w:type="character" w:customStyle="1" w:styleId="21">
    <w:name w:val="纯文本 Char"/>
    <w:basedOn w:val="11"/>
    <w:link w:val="4"/>
    <w:qFormat/>
    <w:uiPriority w:val="0"/>
    <w:rPr>
      <w:rFonts w:ascii="宋体" w:hAnsi="Courier New"/>
      <w:sz w:val="21"/>
    </w:rPr>
  </w:style>
  <w:style w:type="character" w:customStyle="1" w:styleId="22">
    <w:name w:val="日期 Char"/>
    <w:basedOn w:val="11"/>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2CD9-577F-43F9-A769-710AE8E4D2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1682</Words>
  <Characters>1712</Characters>
  <Lines>12</Lines>
  <Paragraphs>3</Paragraphs>
  <TotalTime>230</TotalTime>
  <ScaleCrop>false</ScaleCrop>
  <LinksUpToDate>false</LinksUpToDate>
  <CharactersWithSpaces>1717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2022-03-11T05:13:00Z</dcterms:created>
  <dc:creator>xg</dc:creator>
  <cp:lastModifiedBy>甘露灌顶</cp:lastModifiedBy>
  <cp:lastPrinted>2019-07-04T02:10:00Z</cp:lastPrinted>
  <dcterms:modified xsi:type="dcterms:W3CDTF">2023-03-02T06:51:03Z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777BA270C425416DB43C82CC247142FB</vt:lpwstr>
  </property>
</Properties>
</file>