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p>
    <w:p>
      <w:pPr>
        <w:jc w:val="center"/>
        <w:rPr>
          <w:rFonts w:hint="eastAsia" w:ascii="宋体" w:hAnsi="宋体"/>
          <w:b/>
          <w:sz w:val="32"/>
          <w:szCs w:val="32"/>
          <w:lang w:eastAsia="zh-CN"/>
        </w:rPr>
      </w:pPr>
      <w:r>
        <w:rPr>
          <w:rFonts w:hint="eastAsia" w:ascii="宋体" w:hAnsi="宋体"/>
          <w:b/>
          <w:sz w:val="32"/>
          <w:szCs w:val="32"/>
          <w:lang w:eastAsia="zh-CN"/>
        </w:rPr>
        <w:t>义乌市妇幼保健院</w:t>
      </w:r>
    </w:p>
    <w:p>
      <w:pPr>
        <w:jc w:val="center"/>
        <w:rPr>
          <w:rFonts w:ascii="宋体" w:hAnsi="宋体"/>
          <w:b/>
          <w:sz w:val="32"/>
          <w:szCs w:val="32"/>
        </w:rPr>
      </w:pPr>
      <w:r>
        <w:rPr>
          <w:rFonts w:hint="eastAsia" w:ascii="宋体" w:hAnsi="宋体"/>
          <w:b/>
          <w:sz w:val="32"/>
          <w:szCs w:val="32"/>
        </w:rPr>
        <w:t>纯水系统维护保养招标文件</w:t>
      </w:r>
    </w:p>
    <w:p>
      <w:pPr>
        <w:autoSpaceDE w:val="0"/>
        <w:autoSpaceDN w:val="0"/>
        <w:adjustRightInd w:val="0"/>
        <w:spacing w:line="360" w:lineRule="auto"/>
        <w:jc w:val="center"/>
        <w:rPr>
          <w:rFonts w:ascii="宋体" w:hAnsi="宋体"/>
          <w:b/>
          <w:bCs/>
          <w:sz w:val="30"/>
          <w:szCs w:val="30"/>
          <w:lang w:val="zh-CN"/>
        </w:rPr>
      </w:pPr>
      <w:r>
        <w:rPr>
          <w:rFonts w:hint="eastAsia" w:ascii="宋体" w:hAnsi="宋体"/>
          <w:b/>
          <w:bCs/>
          <w:sz w:val="30"/>
          <w:szCs w:val="30"/>
          <w:lang w:val="zh-CN"/>
        </w:rPr>
        <w:t>第一章 招标公告</w:t>
      </w:r>
    </w:p>
    <w:p>
      <w:pPr>
        <w:spacing w:line="360" w:lineRule="auto"/>
        <w:ind w:firstLine="720" w:firstLineChars="300"/>
        <w:rPr>
          <w:sz w:val="24"/>
        </w:rPr>
      </w:pPr>
      <w:r>
        <w:rPr>
          <w:rFonts w:hint="eastAsia" w:hAnsi="宋体"/>
          <w:sz w:val="24"/>
        </w:rPr>
        <w:t>义乌市妇幼保健院</w:t>
      </w:r>
      <w:r>
        <w:rPr>
          <w:rFonts w:hint="eastAsia" w:hAnsi="宋体"/>
          <w:sz w:val="24"/>
          <w:lang w:eastAsia="zh-CN"/>
        </w:rPr>
        <w:t>纯水系统维护保养</w:t>
      </w:r>
      <w:r>
        <w:rPr>
          <w:rFonts w:hint="eastAsia" w:hAnsi="宋体"/>
          <w:sz w:val="24"/>
        </w:rPr>
        <w:t>采购经</w:t>
      </w:r>
      <w:r>
        <w:rPr>
          <w:rFonts w:hint="eastAsia" w:hAnsi="宋体"/>
          <w:sz w:val="24"/>
          <w:lang w:eastAsia="zh-CN"/>
        </w:rPr>
        <w:t>院办公会</w:t>
      </w:r>
      <w:r>
        <w:rPr>
          <w:rFonts w:hint="eastAsia" w:hAnsi="宋体"/>
          <w:sz w:val="24"/>
        </w:rPr>
        <w:t>研究同意开展公开招标，</w:t>
      </w:r>
      <w:r>
        <w:rPr>
          <w:rFonts w:hAnsi="宋体"/>
          <w:sz w:val="24"/>
        </w:rPr>
        <w:t>欢迎国内合格的供应商参加投标。</w:t>
      </w:r>
    </w:p>
    <w:p>
      <w:pPr>
        <w:pStyle w:val="6"/>
        <w:numPr>
          <w:ilvl w:val="0"/>
          <w:numId w:val="0"/>
        </w:numPr>
        <w:spacing w:line="360" w:lineRule="auto"/>
        <w:rPr>
          <w:rFonts w:hint="eastAsia" w:ascii="Times New Roman" w:hAnsi="Times New Roman"/>
          <w:sz w:val="24"/>
          <w:szCs w:val="24"/>
        </w:rPr>
      </w:pPr>
      <w:r>
        <w:rPr>
          <w:rFonts w:hint="eastAsia" w:ascii="Times New Roman" w:hAnsi="宋体"/>
          <w:b/>
          <w:sz w:val="24"/>
          <w:szCs w:val="24"/>
          <w:lang w:val="en-US" w:eastAsia="zh-CN"/>
        </w:rPr>
        <w:t>一、</w:t>
      </w:r>
      <w:r>
        <w:rPr>
          <w:rFonts w:ascii="Times New Roman" w:hAnsi="宋体"/>
          <w:b/>
          <w:sz w:val="24"/>
          <w:szCs w:val="24"/>
        </w:rPr>
        <w:t>采购编号</w:t>
      </w:r>
      <w:r>
        <w:rPr>
          <w:rFonts w:ascii="Times New Roman" w:hAnsi="宋体"/>
          <w:sz w:val="24"/>
          <w:szCs w:val="24"/>
        </w:rPr>
        <w:t>：</w:t>
      </w:r>
      <w:r>
        <w:rPr>
          <w:rFonts w:hint="eastAsia" w:ascii="Times New Roman" w:hAnsi="宋体"/>
          <w:sz w:val="24"/>
          <w:szCs w:val="24"/>
        </w:rPr>
        <w:t>ywfby</w:t>
      </w:r>
      <w:r>
        <w:rPr>
          <w:rFonts w:hint="eastAsia" w:ascii="Times New Roman" w:hAnsi="Times New Roman"/>
          <w:sz w:val="24"/>
          <w:szCs w:val="24"/>
        </w:rPr>
        <w:t>2021</w:t>
      </w:r>
      <w:r>
        <w:rPr>
          <w:rFonts w:hint="eastAsia" w:ascii="Times New Roman" w:hAnsi="Times New Roman"/>
          <w:sz w:val="24"/>
          <w:szCs w:val="24"/>
          <w:lang w:val="en-US" w:eastAsia="zh-CN"/>
        </w:rPr>
        <w:t>74</w:t>
      </w:r>
    </w:p>
    <w:p>
      <w:pPr>
        <w:rPr>
          <w:b/>
          <w:bCs/>
        </w:rPr>
      </w:pPr>
      <w:r>
        <w:rPr>
          <w:rFonts w:hint="eastAsia" w:ascii="Times New Roman" w:hAnsi="Times New Roman"/>
          <w:b/>
          <w:bCs/>
          <w:sz w:val="24"/>
          <w:lang w:val="en-US" w:eastAsia="zh-CN"/>
        </w:rPr>
        <w:t>二、</w:t>
      </w:r>
      <w:r>
        <w:rPr>
          <w:rFonts w:hint="eastAsia" w:ascii="Times New Roman" w:hAnsi="Times New Roman"/>
          <w:b/>
          <w:bCs/>
          <w:sz w:val="24"/>
        </w:rPr>
        <w:t>招标项目内容概况</w:t>
      </w:r>
    </w:p>
    <w:tbl>
      <w:tblPr>
        <w:tblStyle w:val="14"/>
        <w:tblW w:w="10011"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05"/>
        <w:gridCol w:w="840"/>
        <w:gridCol w:w="756"/>
        <w:gridCol w:w="1260"/>
        <w:gridCol w:w="1128"/>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w:t>
            </w:r>
          </w:p>
        </w:tc>
        <w:tc>
          <w:tcPr>
            <w:tcW w:w="1605"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标项内容</w:t>
            </w:r>
          </w:p>
        </w:tc>
        <w:tc>
          <w:tcPr>
            <w:tcW w:w="84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数量</w:t>
            </w:r>
          </w:p>
        </w:tc>
        <w:tc>
          <w:tcPr>
            <w:tcW w:w="756"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单位</w:t>
            </w:r>
          </w:p>
        </w:tc>
        <w:tc>
          <w:tcPr>
            <w:tcW w:w="126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预算金额</w:t>
            </w:r>
          </w:p>
        </w:tc>
        <w:tc>
          <w:tcPr>
            <w:tcW w:w="1128"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最高限价</w:t>
            </w:r>
          </w:p>
        </w:tc>
        <w:tc>
          <w:tcPr>
            <w:tcW w:w="3648" w:type="dxa"/>
            <w:noWrap w:val="0"/>
            <w:vAlign w:val="center"/>
          </w:tcPr>
          <w:p>
            <w:pPr>
              <w:pStyle w:val="6"/>
              <w:adjustRightInd w:val="0"/>
              <w:snapToGrid w:val="0"/>
              <w:spacing w:line="400" w:lineRule="exact"/>
              <w:jc w:val="center"/>
              <w:rPr>
                <w:rFonts w:hint="eastAsia" w:ascii="新宋体" w:hAnsi="新宋体" w:eastAsia="新宋体"/>
                <w:lang w:val="en-US" w:eastAsia="zh-CN"/>
              </w:rPr>
            </w:pPr>
            <w:r>
              <w:rPr>
                <w:rFonts w:hint="eastAsia" w:ascii="新宋体" w:hAnsi="新宋体" w:eastAsia="新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74"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一</w:t>
            </w:r>
          </w:p>
        </w:tc>
        <w:tc>
          <w:tcPr>
            <w:tcW w:w="1605" w:type="dxa"/>
            <w:noWrap w:val="0"/>
            <w:vAlign w:val="center"/>
          </w:tcPr>
          <w:p>
            <w:pPr>
              <w:pStyle w:val="6"/>
              <w:adjustRightInd w:val="0"/>
              <w:snapToGrid w:val="0"/>
              <w:spacing w:line="320" w:lineRule="exact"/>
              <w:jc w:val="center"/>
              <w:rPr>
                <w:rFonts w:hint="eastAsia" w:ascii="新宋体" w:hAnsi="新宋体" w:eastAsia="新宋体"/>
                <w:sz w:val="24"/>
                <w:szCs w:val="24"/>
                <w:lang w:eastAsia="zh-CN"/>
              </w:rPr>
            </w:pPr>
            <w:r>
              <w:rPr>
                <w:rFonts w:hint="eastAsia" w:ascii="新宋体" w:hAnsi="新宋体" w:eastAsia="新宋体"/>
                <w:sz w:val="24"/>
                <w:szCs w:val="24"/>
                <w:lang w:eastAsia="zh-CN"/>
              </w:rPr>
              <w:t>纯水系统维护保养</w:t>
            </w:r>
          </w:p>
        </w:tc>
        <w:tc>
          <w:tcPr>
            <w:tcW w:w="84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1</w:t>
            </w:r>
          </w:p>
        </w:tc>
        <w:tc>
          <w:tcPr>
            <w:tcW w:w="756"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年</w:t>
            </w:r>
          </w:p>
        </w:tc>
        <w:tc>
          <w:tcPr>
            <w:tcW w:w="126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6</w:t>
            </w:r>
            <w:r>
              <w:rPr>
                <w:rFonts w:hint="eastAsia" w:ascii="新宋体" w:hAnsi="新宋体" w:eastAsia="新宋体"/>
                <w:sz w:val="24"/>
                <w:szCs w:val="24"/>
              </w:rPr>
              <w:t>万元</w:t>
            </w:r>
          </w:p>
        </w:tc>
        <w:tc>
          <w:tcPr>
            <w:tcW w:w="1128"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6</w:t>
            </w:r>
            <w:r>
              <w:rPr>
                <w:rFonts w:hint="eastAsia" w:ascii="新宋体" w:hAnsi="新宋体" w:eastAsia="新宋体"/>
                <w:sz w:val="24"/>
                <w:szCs w:val="24"/>
              </w:rPr>
              <w:t>万元</w:t>
            </w:r>
          </w:p>
        </w:tc>
        <w:tc>
          <w:tcPr>
            <w:tcW w:w="3648" w:type="dxa"/>
            <w:noWrap w:val="0"/>
            <w:vAlign w:val="center"/>
          </w:tcPr>
          <w:p>
            <w:pPr>
              <w:pStyle w:val="6"/>
              <w:adjustRightInd w:val="0"/>
              <w:snapToGrid w:val="0"/>
              <w:spacing w:line="400" w:lineRule="exact"/>
              <w:jc w:val="center"/>
              <w:rPr>
                <w:rFonts w:ascii="新宋体" w:hAnsi="新宋体" w:eastAsia="新宋体"/>
                <w:sz w:val="24"/>
                <w:szCs w:val="24"/>
              </w:rPr>
            </w:pPr>
            <w:r>
              <w:rPr>
                <w:rFonts w:hint="eastAsia" w:ascii="宋体" w:hAnsi="宋体" w:eastAsia="宋体" w:cs="宋体"/>
                <w:lang w:eastAsia="zh-CN"/>
              </w:rPr>
              <w:t>若续签需满足国家和业内相关标准要求</w:t>
            </w:r>
            <w:r>
              <w:rPr>
                <w:rFonts w:hint="eastAsia" w:ascii="宋体" w:hAnsi="宋体" w:eastAsia="宋体" w:cs="宋体"/>
              </w:rPr>
              <w:t>，续签次数最多</w:t>
            </w:r>
            <w:r>
              <w:rPr>
                <w:rFonts w:hint="eastAsia" w:ascii="宋体" w:hAnsi="宋体" w:eastAsia="宋体" w:cs="宋体"/>
                <w:lang w:val="en-US" w:eastAsia="zh-CN"/>
              </w:rPr>
              <w:t>1</w:t>
            </w:r>
            <w:r>
              <w:rPr>
                <w:rFonts w:hint="eastAsia" w:ascii="宋体" w:hAnsi="宋体" w:eastAsia="宋体" w:cs="宋体"/>
              </w:rPr>
              <w:t>次且续签合同期限为1年，全部合同累计时间最长</w:t>
            </w:r>
            <w:r>
              <w:rPr>
                <w:rFonts w:hint="eastAsia" w:ascii="宋体" w:hAnsi="宋体" w:eastAsia="宋体" w:cs="宋体"/>
                <w:lang w:val="en-US" w:eastAsia="zh-CN"/>
              </w:rPr>
              <w:t>2</w:t>
            </w:r>
            <w:r>
              <w:rPr>
                <w:rFonts w:hint="eastAsia" w:ascii="宋体" w:hAnsi="宋体" w:eastAsia="宋体" w:cs="宋体"/>
              </w:rPr>
              <w:t>年。同时新一期的合同服务要求与上一期相同，且一年的</w:t>
            </w:r>
            <w:r>
              <w:rPr>
                <w:rFonts w:hint="eastAsia" w:ascii="宋体" w:hAnsi="宋体" w:eastAsia="宋体" w:cs="宋体"/>
                <w:lang w:eastAsia="zh-CN"/>
              </w:rPr>
              <w:t>合同价款</w:t>
            </w:r>
            <w:r>
              <w:rPr>
                <w:rFonts w:hint="eastAsia" w:ascii="宋体" w:hAnsi="宋体" w:eastAsia="宋体" w:cs="宋体"/>
              </w:rPr>
              <w:t>不高于上一年的</w:t>
            </w:r>
            <w:r>
              <w:rPr>
                <w:rFonts w:hint="eastAsia" w:ascii="宋体" w:hAnsi="宋体" w:eastAsia="宋体" w:cs="宋体"/>
                <w:lang w:eastAsia="zh-CN"/>
              </w:rPr>
              <w:t>合同价款</w:t>
            </w:r>
            <w:r>
              <w:rPr>
                <w:rFonts w:hint="eastAsia" w:ascii="宋体" w:hAnsi="宋体" w:eastAsia="宋体" w:cs="宋体"/>
              </w:rPr>
              <w:t>。具体要求见第</w:t>
            </w:r>
            <w:r>
              <w:rPr>
                <w:rFonts w:hint="eastAsia" w:hAnsi="宋体" w:cs="宋体"/>
                <w:lang w:val="en-US" w:eastAsia="zh-CN"/>
              </w:rPr>
              <w:t>二</w:t>
            </w:r>
            <w:r>
              <w:rPr>
                <w:rFonts w:hint="eastAsia" w:ascii="宋体" w:hAnsi="宋体" w:eastAsia="宋体" w:cs="宋体"/>
              </w:rPr>
              <w:t>章《招标项目要求》</w:t>
            </w:r>
          </w:p>
        </w:tc>
      </w:tr>
    </w:tbl>
    <w:p>
      <w:pPr>
        <w:numPr>
          <w:ilvl w:val="0"/>
          <w:numId w:val="0"/>
        </w:numPr>
        <w:spacing w:line="360" w:lineRule="auto"/>
        <w:rPr>
          <w:rFonts w:hint="eastAsia" w:hAnsi="宋体"/>
          <w:b/>
          <w:sz w:val="24"/>
        </w:rPr>
      </w:pPr>
      <w:r>
        <w:rPr>
          <w:rFonts w:hint="eastAsia" w:hAnsi="宋体"/>
          <w:b/>
          <w:sz w:val="24"/>
          <w:lang w:val="en-US" w:eastAsia="zh-CN"/>
        </w:rPr>
        <w:t>三、</w:t>
      </w:r>
      <w:r>
        <w:rPr>
          <w:rFonts w:hint="eastAsia" w:hAnsi="宋体"/>
          <w:b/>
          <w:sz w:val="24"/>
        </w:rPr>
        <w:t>投标人的资格要求：</w:t>
      </w:r>
    </w:p>
    <w:p>
      <w:pPr>
        <w:pStyle w:val="26"/>
        <w:numPr>
          <w:ilvl w:val="0"/>
          <w:numId w:val="0"/>
        </w:numPr>
        <w:spacing w:line="360" w:lineRule="auto"/>
        <w:ind w:left="480" w:leftChars="0"/>
        <w:rPr>
          <w:rFonts w:ascii="宋体" w:hAnsi="宋体"/>
          <w:sz w:val="24"/>
        </w:rPr>
      </w:pPr>
      <w:r>
        <w:rPr>
          <w:rFonts w:hint="eastAsia" w:ascii="宋体" w:hAnsi="宋体" w:eastAsia="宋体" w:cs="宋体"/>
          <w:kern w:val="0"/>
          <w:sz w:val="24"/>
          <w:szCs w:val="24"/>
          <w:lang w:val="en-US" w:eastAsia="zh-CN"/>
        </w:rPr>
        <w:t>1、</w:t>
      </w:r>
      <w:r>
        <w:rPr>
          <w:rFonts w:hint="eastAsia" w:ascii="宋体" w:hAnsi="宋体" w:cs="宋体"/>
          <w:kern w:val="0"/>
          <w:sz w:val="24"/>
          <w:szCs w:val="24"/>
        </w:rPr>
        <w:t>国内具有独立法人资格。</w:t>
      </w:r>
    </w:p>
    <w:p>
      <w:pPr>
        <w:pStyle w:val="26"/>
        <w:numPr>
          <w:ilvl w:val="0"/>
          <w:numId w:val="0"/>
        </w:numPr>
        <w:spacing w:line="360" w:lineRule="auto"/>
        <w:ind w:left="480" w:leftChars="0"/>
        <w:rPr>
          <w:rFonts w:ascii="宋体" w:hAnsi="宋体"/>
          <w:sz w:val="24"/>
        </w:rPr>
      </w:pPr>
      <w:r>
        <w:rPr>
          <w:rFonts w:hint="eastAsia" w:ascii="宋体" w:hAnsi="宋体" w:eastAsia="宋体"/>
          <w:sz w:val="24"/>
          <w:lang w:val="en-US" w:eastAsia="zh-CN"/>
        </w:rPr>
        <w:t>2、</w:t>
      </w:r>
      <w:r>
        <w:rPr>
          <w:rFonts w:hint="eastAsia" w:ascii="宋体" w:hAnsi="宋体"/>
          <w:sz w:val="24"/>
        </w:rPr>
        <w:t>符合《中华人民共和国政府采购法》第二十二条对供应商的要求。</w:t>
      </w:r>
    </w:p>
    <w:p>
      <w:pPr>
        <w:pStyle w:val="26"/>
        <w:numPr>
          <w:ilvl w:val="0"/>
          <w:numId w:val="0"/>
        </w:numPr>
        <w:spacing w:line="360" w:lineRule="auto"/>
        <w:ind w:left="480" w:leftChars="0"/>
        <w:rPr>
          <w:rFonts w:ascii="宋体" w:hAnsi="宋体"/>
          <w:sz w:val="24"/>
        </w:rPr>
      </w:pPr>
      <w:r>
        <w:rPr>
          <w:rFonts w:hint="eastAsia" w:ascii="宋体" w:hAnsi="宋体" w:eastAsia="宋体"/>
          <w:sz w:val="24"/>
          <w:lang w:val="en-US" w:eastAsia="zh-CN"/>
        </w:rPr>
        <w:t>3、</w:t>
      </w:r>
      <w:r>
        <w:rPr>
          <w:rFonts w:ascii="宋体" w:hAnsi="宋体"/>
          <w:color w:val="FF0000"/>
          <w:sz w:val="24"/>
        </w:rPr>
        <w:t>具有</w:t>
      </w:r>
      <w:r>
        <w:rPr>
          <w:rFonts w:hint="eastAsia" w:ascii="宋体" w:hAnsi="宋体"/>
          <w:color w:val="FF0000"/>
          <w:sz w:val="24"/>
        </w:rPr>
        <w:t>履行合同所必备的设备和专业技术能力。</w:t>
      </w:r>
    </w:p>
    <w:p>
      <w:pPr>
        <w:pStyle w:val="26"/>
        <w:numPr>
          <w:ilvl w:val="0"/>
          <w:numId w:val="0"/>
        </w:numPr>
        <w:spacing w:line="360" w:lineRule="auto"/>
        <w:ind w:left="480" w:leftChars="0"/>
        <w:rPr>
          <w:rFonts w:ascii="宋体" w:hAnsi="宋体"/>
          <w:sz w:val="24"/>
        </w:rPr>
      </w:pPr>
      <w:r>
        <w:rPr>
          <w:rFonts w:hint="eastAsia" w:ascii="宋体" w:hAnsi="宋体" w:eastAsia="宋体"/>
          <w:sz w:val="24"/>
          <w:lang w:val="en-US" w:eastAsia="zh-CN"/>
        </w:rPr>
        <w:t>4、</w:t>
      </w:r>
      <w:r>
        <w:rPr>
          <w:rFonts w:hint="eastAsia" w:ascii="宋体" w:hAnsi="宋体"/>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6"/>
        <w:numPr>
          <w:ilvl w:val="0"/>
          <w:numId w:val="0"/>
        </w:numPr>
        <w:spacing w:line="360" w:lineRule="auto"/>
        <w:ind w:left="480" w:leftChars="0"/>
        <w:rPr>
          <w:rFonts w:ascii="宋体" w:hAnsi="宋体"/>
          <w:sz w:val="24"/>
        </w:rPr>
      </w:pPr>
      <w:r>
        <w:rPr>
          <w:rFonts w:hint="eastAsia" w:ascii="宋体" w:hAnsi="宋体" w:eastAsia="宋体"/>
          <w:sz w:val="24"/>
          <w:lang w:val="en-US" w:eastAsia="zh-CN"/>
        </w:rPr>
        <w:t>5、</w:t>
      </w:r>
      <w:r>
        <w:rPr>
          <w:rFonts w:hint="eastAsia" w:ascii="宋体" w:hAnsi="宋体"/>
          <w:sz w:val="24"/>
        </w:rPr>
        <w:t>本项目所需服务</w:t>
      </w:r>
      <w:r>
        <w:rPr>
          <w:rFonts w:ascii="宋体" w:hAnsi="宋体"/>
          <w:sz w:val="24"/>
        </w:rPr>
        <w:t>能力</w:t>
      </w:r>
      <w:r>
        <w:rPr>
          <w:rFonts w:hint="eastAsia" w:ascii="宋体" w:hAnsi="宋体"/>
          <w:sz w:val="24"/>
        </w:rPr>
        <w:t>，并能为招标人提供便捷的售后服务，本项目不接受联合体投标。不允许分包、转包。</w:t>
      </w:r>
    </w:p>
    <w:p>
      <w:pPr>
        <w:pStyle w:val="26"/>
        <w:numPr>
          <w:ilvl w:val="0"/>
          <w:numId w:val="0"/>
        </w:numPr>
        <w:spacing w:line="360" w:lineRule="auto"/>
        <w:ind w:left="480" w:leftChars="0"/>
        <w:rPr>
          <w:rFonts w:hint="eastAsia"/>
          <w:color w:val="FF0000"/>
        </w:rPr>
      </w:pPr>
      <w:r>
        <w:rPr>
          <w:rFonts w:hint="eastAsia" w:ascii="宋体" w:hAnsi="宋体" w:eastAsia="宋体"/>
          <w:sz w:val="24"/>
          <w:lang w:val="en-US" w:eastAsia="zh-CN"/>
        </w:rPr>
        <w:t>6、</w:t>
      </w:r>
      <w:r>
        <w:rPr>
          <w:rFonts w:hint="eastAsia" w:ascii="宋体" w:hAnsi="宋体"/>
          <w:color w:val="FF0000"/>
          <w:sz w:val="24"/>
        </w:rPr>
        <w:t>该行业国家规定必备的资质、资格。</w:t>
      </w:r>
    </w:p>
    <w:p>
      <w:pPr>
        <w:pStyle w:val="6"/>
        <w:spacing w:line="360" w:lineRule="auto"/>
        <w:rPr>
          <w:rFonts w:hint="eastAsia" w:ascii="Times New Roman" w:hAnsi="Times New Roman"/>
          <w:b/>
          <w:sz w:val="24"/>
        </w:rPr>
      </w:pPr>
      <w:r>
        <w:rPr>
          <w:rFonts w:hint="eastAsia" w:ascii="Times New Roman" w:hAnsi="Times New Roman"/>
          <w:b/>
          <w:sz w:val="24"/>
          <w:lang w:val="en-US" w:eastAsia="zh-CN"/>
        </w:rPr>
        <w:t>四、</w:t>
      </w:r>
      <w:r>
        <w:rPr>
          <w:rFonts w:hint="eastAsia" w:ascii="Times New Roman" w:hAnsi="Times New Roman"/>
          <w:b/>
          <w:sz w:val="24"/>
        </w:rPr>
        <w:t>报名</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hAnsi="宋体"/>
          <w:b/>
          <w:bCs/>
          <w:sz w:val="24"/>
        </w:rPr>
        <w:t>（1）报名时间及招标文件获取：</w:t>
      </w:r>
      <w:r>
        <w:rPr>
          <w:rFonts w:hint="eastAsia" w:hAnsi="宋体"/>
          <w:sz w:val="24"/>
        </w:rPr>
        <w:t>202</w:t>
      </w:r>
      <w:r>
        <w:rPr>
          <w:rFonts w:hAnsi="宋体"/>
          <w:sz w:val="24"/>
        </w:rPr>
        <w:t>1</w:t>
      </w:r>
      <w:r>
        <w:rPr>
          <w:rFonts w:hint="eastAsia" w:hAnsi="宋体"/>
          <w:sz w:val="24"/>
        </w:rPr>
        <w:t>年</w:t>
      </w:r>
      <w:r>
        <w:rPr>
          <w:rFonts w:hint="eastAsia" w:hAnsi="宋体"/>
          <w:sz w:val="24"/>
          <w:lang w:val="en-US" w:eastAsia="zh-CN"/>
        </w:rPr>
        <w:t>7</w:t>
      </w:r>
      <w:r>
        <w:rPr>
          <w:rFonts w:hint="eastAsia" w:hAnsi="宋体"/>
          <w:sz w:val="24"/>
        </w:rPr>
        <w:t>月</w:t>
      </w:r>
      <w:r>
        <w:rPr>
          <w:rFonts w:hint="eastAsia" w:hAnsi="宋体"/>
          <w:sz w:val="24"/>
          <w:lang w:val="en-US" w:eastAsia="zh-CN"/>
        </w:rPr>
        <w:t>27</w:t>
      </w:r>
      <w:r>
        <w:rPr>
          <w:rFonts w:hint="eastAsia" w:hAnsi="宋体"/>
          <w:sz w:val="24"/>
        </w:rPr>
        <w:t>日</w:t>
      </w:r>
      <w:r>
        <w:rPr>
          <w:rFonts w:hint="eastAsia" w:ascii="Times New Roman" w:hAnsi="Times New Roman"/>
          <w:sz w:val="24"/>
        </w:rPr>
        <w:t>至</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3</w:t>
      </w:r>
      <w:r>
        <w:rPr>
          <w:rFonts w:hint="eastAsia" w:ascii="Times New Roman" w:hAnsi="Times New Roman"/>
          <w:sz w:val="24"/>
        </w:rPr>
        <w:t>日，（上午8:00-11:30,下午13:</w:t>
      </w:r>
      <w:r>
        <w:rPr>
          <w:rFonts w:hint="eastAsia" w:ascii="Times New Roman" w:hAnsi="Times New Roman"/>
          <w:sz w:val="24"/>
          <w:lang w:val="en-US" w:eastAsia="zh-CN"/>
        </w:rPr>
        <w:t>3</w:t>
      </w:r>
      <w:r>
        <w:rPr>
          <w:rFonts w:hint="eastAsia" w:ascii="Times New Roman" w:hAnsi="Times New Roman"/>
          <w:sz w:val="24"/>
        </w:rPr>
        <w:t>0-1</w:t>
      </w:r>
      <w:r>
        <w:rPr>
          <w:rFonts w:hint="eastAsia" w:ascii="Times New Roman" w:hAnsi="Times New Roman"/>
          <w:sz w:val="24"/>
          <w:lang w:val="en-US" w:eastAsia="zh-CN"/>
        </w:rPr>
        <w:t>7</w:t>
      </w:r>
      <w:r>
        <w:rPr>
          <w:rFonts w:ascii="Times New Roman" w:hAnsi="Times New Roman"/>
          <w:sz w:val="24"/>
        </w:rPr>
        <w:t>:</w:t>
      </w:r>
      <w:r>
        <w:rPr>
          <w:rFonts w:hint="eastAsia" w:ascii="Times New Roman" w:hAnsi="Times New Roman"/>
          <w:sz w:val="24"/>
          <w:lang w:val="en-US" w:eastAsia="zh-CN"/>
        </w:rPr>
        <w:t>0</w:t>
      </w:r>
      <w:r>
        <w:rPr>
          <w:rFonts w:hint="eastAsia" w:ascii="Times New Roman" w:hAnsi="Times New Roman"/>
          <w:sz w:val="24"/>
        </w:rPr>
        <w:t>0，周末、节假日除外），</w:t>
      </w:r>
      <w:r>
        <w:rPr>
          <w:rFonts w:hint="eastAsia" w:ascii="Times New Roman" w:hAnsi="Times New Roman"/>
          <w:color w:val="000000" w:themeColor="text1"/>
          <w:sz w:val="24"/>
          <w14:textFill>
            <w14:solidFill>
              <w14:schemeClr w14:val="tx1"/>
            </w14:solidFill>
          </w14:textFill>
        </w:rPr>
        <w:t>到义乌市妇幼保健院</w:t>
      </w:r>
      <w:r>
        <w:rPr>
          <w:rFonts w:ascii="Times New Roman" w:hAnsi="Times New Roman"/>
          <w:color w:val="000000" w:themeColor="text1"/>
          <w:sz w:val="24"/>
          <w14:textFill>
            <w14:solidFill>
              <w14:schemeClr w14:val="tx1"/>
            </w14:solidFill>
          </w14:textFill>
        </w:rPr>
        <w:t>行政楼三楼</w:t>
      </w:r>
      <w:r>
        <w:rPr>
          <w:rFonts w:hint="eastAsia" w:ascii="Times New Roman" w:hAnsi="Times New Roman"/>
          <w:color w:val="000000" w:themeColor="text1"/>
          <w:sz w:val="24"/>
          <w14:textFill>
            <w14:solidFill>
              <w14:schemeClr w14:val="tx1"/>
            </w14:solidFill>
          </w14:textFill>
        </w:rPr>
        <w:t>采招办领取招标文件（</w:t>
      </w:r>
      <w:r>
        <w:rPr>
          <w:rFonts w:ascii="Times New Roman" w:hAnsi="Times New Roman"/>
          <w:color w:val="000000" w:themeColor="text1"/>
          <w:sz w:val="24"/>
          <w14:textFill>
            <w14:solidFill>
              <w14:schemeClr w14:val="tx1"/>
            </w14:solidFill>
          </w14:textFill>
        </w:rPr>
        <w:t>义乌市新科路c100</w:t>
      </w:r>
      <w:r>
        <w:rPr>
          <w:rFonts w:hint="eastAsia" w:ascii="Times New Roman" w:hAnsi="Times New Roman"/>
          <w:color w:val="000000" w:themeColor="text1"/>
          <w:sz w:val="24"/>
          <w14:textFill>
            <w14:solidFill>
              <w14:schemeClr w14:val="tx1"/>
            </w14:solidFill>
          </w14:textFill>
        </w:rPr>
        <w:t>）或</w:t>
      </w:r>
      <w:r>
        <w:rPr>
          <w:rFonts w:hint="eastAsia" w:ascii="Times New Roman" w:hAnsi="Times New Roman"/>
          <w:color w:val="000000" w:themeColor="text1"/>
          <w:sz w:val="24"/>
          <w:lang w:eastAsia="zh-CN"/>
          <w14:textFill>
            <w14:solidFill>
              <w14:schemeClr w14:val="tx1"/>
            </w14:solidFill>
          </w14:textFill>
        </w:rPr>
        <w:t>义乌市妇幼保健院网站</w:t>
      </w:r>
      <w:r>
        <w:rPr>
          <w:rFonts w:hint="eastAsia" w:ascii="Times New Roman" w:hAnsi="Times New Roman"/>
          <w:color w:val="000000" w:themeColor="text1"/>
          <w:sz w:val="24"/>
          <w14:textFill>
            <w14:solidFill>
              <w14:schemeClr w14:val="tx1"/>
            </w14:solidFill>
          </w14:textFill>
        </w:rPr>
        <w:t>下载获取。</w:t>
      </w:r>
    </w:p>
    <w:p>
      <w:pPr>
        <w:pStyle w:val="6"/>
        <w:spacing w:line="360" w:lineRule="auto"/>
        <w:ind w:firstLine="480"/>
        <w:rPr>
          <w:rFonts w:ascii="Times New Roman" w:hAnsi="Times New Roman"/>
          <w:sz w:val="24"/>
        </w:rPr>
      </w:pPr>
      <w:r>
        <w:rPr>
          <w:rFonts w:hint="eastAsia" w:ascii="Times New Roman" w:hAnsi="Times New Roman"/>
          <w:sz w:val="24"/>
        </w:rPr>
        <w:t>（2）报名方式：潜在供应商可通过电子邮件形式进行在线报名，将报名资料发送至采购人指定邮箱250210209@qq.com。报名时需留下报名单位联系人姓名和联系电话。</w:t>
      </w:r>
    </w:p>
    <w:p>
      <w:pPr>
        <w:pStyle w:val="6"/>
        <w:spacing w:line="360" w:lineRule="auto"/>
        <w:rPr>
          <w:rFonts w:hint="eastAsia" w:ascii="Times New Roman" w:hAnsi="Times New Roman"/>
          <w:b/>
          <w:bCs/>
          <w:sz w:val="24"/>
        </w:rPr>
      </w:pPr>
      <w:r>
        <w:rPr>
          <w:rFonts w:hint="eastAsia" w:ascii="Times New Roman" w:hAnsi="Times New Roman"/>
          <w:b/>
          <w:bCs/>
          <w:sz w:val="24"/>
          <w:lang w:val="en-US" w:eastAsia="zh-CN"/>
        </w:rPr>
        <w:t>五、</w:t>
      </w:r>
      <w:r>
        <w:rPr>
          <w:rFonts w:hint="eastAsia" w:ascii="Times New Roman" w:hAnsi="Times New Roman"/>
          <w:b/>
          <w:bCs/>
          <w:sz w:val="24"/>
        </w:rPr>
        <w:t>报名时所需资料</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  （1）单位营业执照副本；</w:t>
      </w:r>
    </w:p>
    <w:p>
      <w:pPr>
        <w:pStyle w:val="6"/>
        <w:spacing w:line="360" w:lineRule="auto"/>
        <w:ind w:firstLine="720" w:firstLineChars="3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（2）法定代表人</w:t>
      </w:r>
      <w:r>
        <w:rPr>
          <w:rFonts w:ascii="Times New Roman" w:hAnsi="Times New Roman"/>
          <w:color w:val="000000" w:themeColor="text1"/>
          <w:sz w:val="24"/>
          <w14:textFill>
            <w14:solidFill>
              <w14:schemeClr w14:val="tx1"/>
            </w14:solidFill>
          </w14:textFill>
        </w:rPr>
        <w:t>授权书；</w:t>
      </w:r>
      <w:r>
        <w:rPr>
          <w:rFonts w:hint="eastAsia" w:ascii="Times New Roman" w:hAnsi="Times New Roman"/>
          <w:color w:val="000000" w:themeColor="text1"/>
          <w:sz w:val="24"/>
          <w14:textFill>
            <w14:solidFill>
              <w14:schemeClr w14:val="tx1"/>
            </w14:solidFill>
          </w14:textFill>
        </w:rPr>
        <w:t>（注明</w:t>
      </w:r>
      <w:r>
        <w:rPr>
          <w:rFonts w:ascii="Times New Roman" w:hAnsi="Times New Roman"/>
          <w:color w:val="000000" w:themeColor="text1"/>
          <w:sz w:val="24"/>
          <w14:textFill>
            <w14:solidFill>
              <w14:schemeClr w14:val="tx1"/>
            </w14:solidFill>
          </w14:textFill>
        </w:rPr>
        <w:t>法定代表人</w:t>
      </w:r>
      <w:r>
        <w:rPr>
          <w:rFonts w:hint="eastAsia" w:ascii="Times New Roman" w:hAnsi="Times New Roman"/>
          <w:color w:val="000000" w:themeColor="text1"/>
          <w:sz w:val="24"/>
          <w14:textFill>
            <w14:solidFill>
              <w14:schemeClr w14:val="tx1"/>
            </w14:solidFill>
          </w14:textFill>
        </w:rPr>
        <w:t>或授权联系电话、钉钉号、邮箱等）</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（3）被授权人身份证；</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）投标人简介等资料；</w:t>
      </w:r>
    </w:p>
    <w:p>
      <w:r>
        <w:rPr>
          <w:rFonts w:hint="eastAsia" w:ascii="宋体" w:hAnsi="宋体"/>
          <w:sz w:val="24"/>
        </w:rPr>
        <w:t>（</w:t>
      </w:r>
      <w:r>
        <w:rPr>
          <w:rFonts w:hint="eastAsia" w:ascii="宋体" w:hAnsi="宋体"/>
          <w:sz w:val="24"/>
          <w:lang w:val="en-US" w:eastAsia="zh-CN"/>
        </w:rPr>
        <w:t>以上</w:t>
      </w:r>
      <w:r>
        <w:rPr>
          <w:rFonts w:hint="eastAsia" w:ascii="宋体" w:hAnsi="宋体"/>
          <w:sz w:val="24"/>
        </w:rPr>
        <w:t>加盖单位公章）</w:t>
      </w:r>
    </w:p>
    <w:p>
      <w:pPr>
        <w:pStyle w:val="6"/>
        <w:spacing w:line="360" w:lineRule="auto"/>
        <w:rPr>
          <w:rFonts w:ascii="Times New Roman" w:hAnsi="Times New Roman"/>
          <w:sz w:val="24"/>
        </w:rPr>
      </w:pPr>
      <w:r>
        <w:rPr>
          <w:rFonts w:hint="eastAsia" w:ascii="Times New Roman" w:hAnsi="Times New Roman"/>
          <w:b/>
          <w:sz w:val="24"/>
          <w:lang w:val="en-US" w:eastAsia="zh-CN"/>
        </w:rPr>
        <w:t>六、</w:t>
      </w:r>
      <w:r>
        <w:rPr>
          <w:rFonts w:ascii="Times New Roman" w:hAnsi="Times New Roman"/>
          <w:b/>
          <w:sz w:val="24"/>
        </w:rPr>
        <w:t>递交投标文件截止及开标时间：</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4</w:t>
      </w:r>
      <w:r>
        <w:rPr>
          <w:rFonts w:ascii="Times New Roman" w:hAnsi="Times New Roman"/>
          <w:b/>
          <w:sz w:val="24"/>
          <w:u w:val="single"/>
        </w:rPr>
        <w:t>日</w:t>
      </w:r>
      <w:r>
        <w:rPr>
          <w:rFonts w:hint="eastAsia" w:ascii="Times New Roman" w:hAnsi="Times New Roman"/>
          <w:b/>
          <w:sz w:val="24"/>
          <w:u w:val="single"/>
        </w:rPr>
        <w:t>14:00</w:t>
      </w:r>
      <w:r>
        <w:rPr>
          <w:rFonts w:ascii="Times New Roman" w:hAnsi="Times New Roman"/>
          <w:b/>
          <w:sz w:val="24"/>
        </w:rPr>
        <w:t xml:space="preserve">。     </w:t>
      </w:r>
    </w:p>
    <w:p>
      <w:pPr>
        <w:pStyle w:val="6"/>
        <w:spacing w:line="360" w:lineRule="auto"/>
        <w:ind w:firstLine="720" w:firstLineChars="300"/>
        <w:rPr>
          <w:rFonts w:ascii="Times New Roman" w:hAnsi="Times New Roman"/>
          <w:sz w:val="24"/>
        </w:rPr>
      </w:pPr>
      <w:r>
        <w:rPr>
          <w:rFonts w:hint="eastAsia" w:ascii="Times New Roman" w:hAnsi="Times New Roman"/>
          <w:sz w:val="24"/>
        </w:rPr>
        <w:t>请潜在供应商</w:t>
      </w:r>
      <w:r>
        <w:rPr>
          <w:rFonts w:ascii="Times New Roman" w:hAnsi="Times New Roman"/>
          <w:sz w:val="24"/>
        </w:rPr>
        <w:t>于</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4</w:t>
      </w:r>
      <w:r>
        <w:rPr>
          <w:rFonts w:ascii="Times New Roman" w:hAnsi="Times New Roman"/>
          <w:b/>
          <w:sz w:val="24"/>
          <w:u w:val="single"/>
        </w:rPr>
        <w:t>日</w:t>
      </w:r>
      <w:r>
        <w:rPr>
          <w:rFonts w:hint="eastAsia" w:ascii="Times New Roman" w:hAnsi="Times New Roman"/>
          <w:b/>
          <w:sz w:val="24"/>
          <w:u w:val="single"/>
        </w:rPr>
        <w:t>14:00</w:t>
      </w:r>
      <w:r>
        <w:rPr>
          <w:rFonts w:hint="eastAsia" w:ascii="Times New Roman" w:hAnsi="Times New Roman"/>
          <w:sz w:val="24"/>
          <w:lang w:val="en-US" w:eastAsia="zh-CN"/>
        </w:rPr>
        <w:t xml:space="preserve"> </w:t>
      </w:r>
      <w:r>
        <w:rPr>
          <w:rFonts w:ascii="Times New Roman" w:hAnsi="Times New Roman"/>
          <w:sz w:val="24"/>
        </w:rPr>
        <w:t>前送达投标响应文件。</w:t>
      </w:r>
    </w:p>
    <w:p>
      <w:pPr>
        <w:pStyle w:val="6"/>
        <w:spacing w:line="360" w:lineRule="auto"/>
        <w:ind w:firstLine="480" w:firstLineChars="200"/>
        <w:rPr>
          <w:rFonts w:ascii="Times New Roman" w:hAnsi="Times New Roman"/>
          <w:sz w:val="24"/>
        </w:rPr>
      </w:pPr>
      <w:r>
        <w:rPr>
          <w:rFonts w:ascii="Times New Roman" w:hAnsi="Times New Roman"/>
          <w:sz w:val="24"/>
        </w:rPr>
        <w:t>（1）</w:t>
      </w:r>
      <w:r>
        <w:rPr>
          <w:rFonts w:ascii="Times New Roman" w:hAnsi="Times New Roman"/>
          <w:sz w:val="24"/>
          <w:szCs w:val="24"/>
        </w:rPr>
        <w:t>投标文件递交方式：</w:t>
      </w:r>
    </w:p>
    <w:p>
      <w:pPr>
        <w:pStyle w:val="6"/>
        <w:spacing w:line="360" w:lineRule="auto"/>
        <w:ind w:firstLine="480" w:firstLineChars="200"/>
        <w:rPr>
          <w:rFonts w:ascii="Times New Roman" w:hAnsi="Times New Roman"/>
          <w:sz w:val="24"/>
        </w:rPr>
      </w:pPr>
      <w:r>
        <w:rPr>
          <w:rFonts w:ascii="Times New Roman" w:hAnsi="Times New Roman"/>
          <w:sz w:val="24"/>
        </w:rPr>
        <w:t>A、投标文件采用邮寄的投标方式，递交投标文件截止及开标时间以后送达的或破损包装的投标文件不予接收，快递退回。</w:t>
      </w:r>
    </w:p>
    <w:p>
      <w:pPr>
        <w:pStyle w:val="6"/>
        <w:spacing w:line="360" w:lineRule="auto"/>
        <w:ind w:firstLine="480" w:firstLineChars="200"/>
        <w:rPr>
          <w:rFonts w:ascii="Times New Roman" w:hAnsi="Times New Roman"/>
          <w:sz w:val="24"/>
        </w:rPr>
      </w:pPr>
      <w:r>
        <w:rPr>
          <w:rFonts w:ascii="Times New Roman" w:hAnsi="Times New Roman"/>
          <w:sz w:val="24"/>
          <w:szCs w:val="24"/>
          <w:shd w:val="clear" w:color="auto" w:fill="FFFFFF"/>
        </w:rPr>
        <w:t>B</w:t>
      </w:r>
      <w:r>
        <w:rPr>
          <w:rFonts w:ascii="Times New Roman" w:hAnsi="宋体"/>
          <w:sz w:val="24"/>
          <w:szCs w:val="24"/>
          <w:shd w:val="clear" w:color="auto" w:fill="FFFFFF"/>
        </w:rPr>
        <w:t>、投标人当面递交的，开标当天统一接收模式：在开标前</w:t>
      </w:r>
      <w:r>
        <w:rPr>
          <w:rFonts w:ascii="Times New Roman" w:hAnsi="Times New Roman"/>
          <w:sz w:val="24"/>
          <w:szCs w:val="24"/>
          <w:shd w:val="clear" w:color="auto" w:fill="FFFFFF"/>
        </w:rPr>
        <w:t>1</w:t>
      </w:r>
      <w:r>
        <w:rPr>
          <w:rFonts w:ascii="Times New Roman" w:hAnsi="宋体"/>
          <w:sz w:val="24"/>
          <w:szCs w:val="24"/>
          <w:shd w:val="clear" w:color="auto" w:fill="FFFFFF"/>
        </w:rPr>
        <w:t>小时内，投标人直接将投标文件送至</w:t>
      </w:r>
      <w:r>
        <w:rPr>
          <w:rFonts w:hint="eastAsia" w:ascii="Times New Roman" w:hAnsi="宋体"/>
          <w:sz w:val="24"/>
          <w:szCs w:val="24"/>
          <w:shd w:val="clear" w:color="auto" w:fill="FFFFFF"/>
        </w:rPr>
        <w:t>义乌市妇幼保健院</w:t>
      </w:r>
      <w:r>
        <w:rPr>
          <w:rFonts w:ascii="Times New Roman" w:hAnsi="Times New Roman"/>
          <w:sz w:val="24"/>
        </w:rPr>
        <w:t>。</w:t>
      </w:r>
    </w:p>
    <w:p>
      <w:pPr>
        <w:pStyle w:val="6"/>
        <w:spacing w:line="360" w:lineRule="auto"/>
        <w:ind w:firstLine="480" w:firstLineChars="200"/>
        <w:rPr>
          <w:rFonts w:hint="eastAsia" w:ascii="Times New Roman" w:hAnsi="Times New Roman"/>
          <w:sz w:val="24"/>
        </w:rPr>
      </w:pPr>
      <w:r>
        <w:rPr>
          <w:rFonts w:ascii="Times New Roman" w:hAnsi="Times New Roman"/>
          <w:sz w:val="24"/>
        </w:rPr>
        <w:t>地址：</w:t>
      </w:r>
      <w:r>
        <w:rPr>
          <w:rFonts w:hint="eastAsia" w:ascii="Times New Roman" w:hAnsi="Times New Roman"/>
          <w:sz w:val="24"/>
        </w:rPr>
        <w:t>义乌市妇幼保健院行政三楼采招办（义乌市新科路c100）</w:t>
      </w:r>
    </w:p>
    <w:p>
      <w:pPr>
        <w:pStyle w:val="6"/>
        <w:spacing w:line="360" w:lineRule="auto"/>
        <w:ind w:firstLine="480" w:firstLineChars="200"/>
        <w:rPr>
          <w:rFonts w:ascii="Times New Roman" w:hAnsi="Times New Roman"/>
          <w:sz w:val="24"/>
        </w:rPr>
      </w:pPr>
      <w:r>
        <w:rPr>
          <w:rFonts w:ascii="Times New Roman" w:hAnsi="Times New Roman"/>
          <w:sz w:val="24"/>
        </w:rPr>
        <w:t>收件人：</w:t>
      </w:r>
      <w:r>
        <w:rPr>
          <w:rFonts w:hint="eastAsia" w:ascii="Times New Roman" w:hAnsi="Times New Roman"/>
          <w:sz w:val="24"/>
        </w:rPr>
        <w:t>杜燕萍</w:t>
      </w:r>
      <w:r>
        <w:rPr>
          <w:rFonts w:ascii="Times New Roman" w:hAnsi="Times New Roman"/>
          <w:sz w:val="24"/>
        </w:rPr>
        <w:t xml:space="preserve">       联系方式：0579-8</w:t>
      </w:r>
      <w:r>
        <w:rPr>
          <w:rFonts w:hint="eastAsia" w:ascii="Times New Roman" w:hAnsi="Times New Roman"/>
          <w:sz w:val="24"/>
        </w:rPr>
        <w:t>3803211</w:t>
      </w:r>
      <w:r>
        <w:rPr>
          <w:rFonts w:ascii="Times New Roman" w:hAnsi="Times New Roman"/>
          <w:sz w:val="24"/>
        </w:rPr>
        <w:t>、</w:t>
      </w:r>
      <w:r>
        <w:rPr>
          <w:rFonts w:hint="eastAsia" w:ascii="Times New Roman" w:hAnsi="Times New Roman"/>
          <w:sz w:val="24"/>
        </w:rPr>
        <w:t>13506898252</w:t>
      </w:r>
    </w:p>
    <w:p>
      <w:pPr>
        <w:pStyle w:val="6"/>
        <w:spacing w:line="360" w:lineRule="auto"/>
        <w:ind w:firstLine="480" w:firstLineChars="200"/>
        <w:rPr>
          <w:rFonts w:ascii="Times New Roman" w:hAnsi="Times New Roman"/>
          <w:sz w:val="24"/>
        </w:rPr>
      </w:pPr>
      <w:r>
        <w:rPr>
          <w:rFonts w:ascii="Times New Roman" w:hAnsi="Times New Roman"/>
          <w:sz w:val="24"/>
        </w:rPr>
        <w:t>（2）</w:t>
      </w:r>
      <w:r>
        <w:rPr>
          <w:rFonts w:ascii="Times New Roman" w:hAnsi="Times New Roman"/>
          <w:sz w:val="24"/>
          <w:szCs w:val="24"/>
        </w:rPr>
        <w:t>投标文件采用两层包装，即投标文件按招标文件要求包装后再进行外包装，外包装封格式详见邮寄附件。请各投标人确保密封包装在邮寄过程密封包装完好，因邮寄过程的密封破损造成不符合开标要求的，招标人概不负责。建议投标文件包装后邮寄时再进行外包装。供应商对邮寄快递招标、采购文件的完整性、密封性负责。</w:t>
      </w:r>
    </w:p>
    <w:p>
      <w:pPr>
        <w:spacing w:line="44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联系地址和电话：</w:t>
      </w:r>
    </w:p>
    <w:p>
      <w:pPr>
        <w:spacing w:line="440" w:lineRule="exact"/>
        <w:rPr>
          <w:rFonts w:ascii="宋体" w:hAnsi="宋体"/>
          <w:sz w:val="24"/>
        </w:rPr>
      </w:pPr>
      <w:r>
        <w:rPr>
          <w:rFonts w:hint="eastAsia" w:ascii="宋体" w:hAnsi="宋体"/>
          <w:sz w:val="24"/>
        </w:rPr>
        <w:t xml:space="preserve">   联系人及电话： 杜燕萍              0579-83803211</w:t>
      </w:r>
    </w:p>
    <w:p>
      <w:pPr>
        <w:spacing w:line="440" w:lineRule="exact"/>
        <w:ind w:firstLine="360" w:firstLineChars="150"/>
        <w:rPr>
          <w:rFonts w:hint="eastAsia" w:ascii="宋体" w:hAnsi="宋体"/>
          <w:sz w:val="24"/>
        </w:rPr>
      </w:pPr>
      <w:r>
        <w:rPr>
          <w:rFonts w:hint="eastAsia" w:ascii="宋体" w:hAnsi="宋体"/>
          <w:sz w:val="24"/>
        </w:rPr>
        <w:t>详细地址：义乌市妇幼保健院</w:t>
      </w:r>
      <w:r>
        <w:rPr>
          <w:rFonts w:ascii="宋体" w:hAnsi="宋体"/>
          <w:sz w:val="24"/>
        </w:rPr>
        <w:t>行政楼三楼</w:t>
      </w:r>
      <w:r>
        <w:rPr>
          <w:rFonts w:hint="eastAsia" w:ascii="宋体" w:hAnsi="宋体"/>
          <w:sz w:val="24"/>
        </w:rPr>
        <w:t>采招办（</w:t>
      </w:r>
      <w:r>
        <w:rPr>
          <w:rFonts w:ascii="宋体" w:hAnsi="宋体"/>
          <w:sz w:val="24"/>
        </w:rPr>
        <w:t>义乌市新科路c100</w:t>
      </w:r>
      <w:r>
        <w:rPr>
          <w:rFonts w:hint="eastAsia" w:ascii="宋体" w:hAnsi="宋体"/>
          <w:sz w:val="24"/>
        </w:rPr>
        <w:t xml:space="preserve">） </w:t>
      </w:r>
    </w:p>
    <w:p/>
    <w:p>
      <w:pPr>
        <w:widowControl/>
        <w:spacing w:line="420" w:lineRule="atLeast"/>
        <w:ind w:firstLine="480"/>
        <w:rPr>
          <w:rFonts w:ascii="仿宋" w:hAnsi="仿宋" w:eastAsia="仿宋" w:cs="宋体"/>
          <w:kern w:val="0"/>
          <w:sz w:val="24"/>
          <w:szCs w:val="24"/>
        </w:rPr>
      </w:pPr>
    </w:p>
    <w:p>
      <w:pPr>
        <w:widowControl/>
        <w:spacing w:line="420" w:lineRule="atLeast"/>
        <w:rPr>
          <w:rFonts w:ascii="仿宋" w:hAnsi="仿宋" w:eastAsia="仿宋" w:cs="宋体"/>
          <w:kern w:val="0"/>
          <w:sz w:val="24"/>
          <w:szCs w:val="24"/>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numPr>
          <w:ilvl w:val="0"/>
          <w:numId w:val="1"/>
        </w:numPr>
        <w:autoSpaceDE w:val="0"/>
        <w:autoSpaceDN w:val="0"/>
        <w:adjustRightInd w:val="0"/>
        <w:spacing w:line="360" w:lineRule="auto"/>
        <w:jc w:val="center"/>
        <w:rPr>
          <w:rFonts w:hint="eastAsia" w:ascii="宋体" w:hAnsi="宋体"/>
          <w:b/>
          <w:bCs/>
          <w:sz w:val="30"/>
          <w:szCs w:val="30"/>
          <w:lang w:val="zh-CN"/>
        </w:rPr>
      </w:pPr>
      <w:r>
        <w:rPr>
          <w:rFonts w:hint="eastAsia" w:ascii="宋体" w:hAnsi="宋体"/>
          <w:b/>
          <w:bCs/>
          <w:sz w:val="30"/>
          <w:szCs w:val="30"/>
          <w:lang w:val="zh-CN"/>
        </w:rPr>
        <w:t>招标项目要求</w:t>
      </w:r>
    </w:p>
    <w:p>
      <w:pPr>
        <w:pStyle w:val="2"/>
        <w:keepNext w:val="0"/>
        <w:keepLines w:val="0"/>
        <w:pageBreakBefore w:val="0"/>
        <w:numPr>
          <w:ilvl w:val="0"/>
          <w:numId w:val="2"/>
        </w:numPr>
        <w:kinsoku/>
        <w:wordWrap/>
        <w:overflowPunct/>
        <w:topLinePunct w:val="0"/>
        <w:autoSpaceDE/>
        <w:autoSpaceDN/>
        <w:bidi w:val="0"/>
        <w:adjustRightInd/>
        <w:snapToGrid/>
        <w:spacing w:after="0" w:line="360" w:lineRule="auto"/>
        <w:rPr>
          <w:rFonts w:hint="eastAsia" w:ascii="宋体" w:hAnsi="宋体"/>
          <w:b/>
          <w:bCs/>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项目概况</w:t>
      </w:r>
    </w:p>
    <w:p>
      <w:pPr>
        <w:pStyle w:val="2"/>
        <w:keepNext w:val="0"/>
        <w:keepLines w:val="0"/>
        <w:pageBreakBefore w:val="0"/>
        <w:numPr>
          <w:ilvl w:val="0"/>
          <w:numId w:val="0"/>
        </w:numPr>
        <w:kinsoku/>
        <w:wordWrap/>
        <w:overflowPunct/>
        <w:topLinePunct w:val="0"/>
        <w:autoSpaceDE/>
        <w:autoSpaceDN/>
        <w:bidi w:val="0"/>
        <w:adjustRightInd/>
        <w:snapToGrid/>
        <w:spacing w:after="0" w:line="360" w:lineRule="auto"/>
        <w:ind w:firstLine="480" w:firstLineChars="200"/>
        <w:rPr>
          <w:rFonts w:hint="eastAsia" w:cs="宋体"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本次</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采购内容</w:t>
      </w:r>
      <w:r>
        <w:rPr>
          <w:rFonts w:hint="eastAsia" w:asciiTheme="majorEastAsia" w:hAnsiTheme="majorEastAsia" w:eastAsiaTheme="majorEastAsia"/>
          <w:color w:val="000000" w:themeColor="text1"/>
          <w:sz w:val="24"/>
          <w:szCs w:val="24"/>
          <w14:textFill>
            <w14:solidFill>
              <w14:schemeClr w14:val="tx1"/>
            </w14:solidFill>
          </w14:textFill>
        </w:rPr>
        <w:t>为义乌市妇幼保健院供应室、检验中心、内镜中心、口腔科纯水系统的维保服务。维保服务合同期限一年。维保范围主要包括设备机房内的水质处理过滤设备、供水管道、相关耗材更换等。</w:t>
      </w:r>
      <w:r>
        <w:rPr>
          <w:rFonts w:hint="eastAsia" w:asciiTheme="majorEastAsia" w:hAnsiTheme="majorEastAsia" w:eastAsiaTheme="majorEastAsia"/>
          <w:color w:val="000000" w:themeColor="text1"/>
          <w:sz w:val="24"/>
          <w:szCs w:val="24"/>
          <w:lang w:eastAsia="zh-CN"/>
          <w14:textFill>
            <w14:solidFill>
              <w14:schemeClr w14:val="tx1"/>
            </w14:solidFill>
          </w14:textFill>
        </w:rPr>
        <w:t>（</w:t>
      </w:r>
      <w:r>
        <w:rPr>
          <w:rFonts w:hint="eastAsia" w:cs="宋体" w:asciiTheme="majorEastAsia" w:hAnsiTheme="majorEastAsia" w:eastAsiaTheme="majorEastAsia"/>
          <w:color w:val="000000" w:themeColor="text1"/>
          <w:sz w:val="24"/>
          <w:szCs w:val="24"/>
          <w14:textFill>
            <w14:solidFill>
              <w14:schemeClr w14:val="tx1"/>
            </w14:solidFill>
          </w14:textFill>
        </w:rPr>
        <w:t>投标单位自行勘察现场，若有疑议，请于投标前联系。</w:t>
      </w:r>
      <w:r>
        <w:rPr>
          <w:rFonts w:hint="eastAsia" w:cs="宋体" w:asciiTheme="majorEastAsia" w:hAnsiTheme="majorEastAsia" w:eastAsiaTheme="majorEastAsia"/>
          <w:bCs/>
          <w:color w:val="000000" w:themeColor="text1"/>
          <w:sz w:val="24"/>
          <w:szCs w:val="24"/>
          <w14:textFill>
            <w14:solidFill>
              <w14:schemeClr w14:val="tx1"/>
            </w14:solidFill>
          </w14:textFill>
        </w:rPr>
        <w:t>招标单位不统一安排勘察</w:t>
      </w:r>
      <w:r>
        <w:rPr>
          <w:rFonts w:hint="eastAsia" w:cs="宋体" w:asciiTheme="majorEastAsia" w:hAnsiTheme="majorEastAsia" w:eastAsiaTheme="majorEastAsia"/>
          <w:bCs/>
          <w:color w:val="000000" w:themeColor="text1"/>
          <w:sz w:val="24"/>
          <w:szCs w:val="24"/>
          <w:lang w:eastAsia="zh-CN"/>
          <w14:textFill>
            <w14:solidFill>
              <w14:schemeClr w14:val="tx1"/>
            </w14:solidFill>
          </w14:textFill>
        </w:rPr>
        <w:t>）。</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二</w:t>
      </w:r>
      <w:r>
        <w:rPr>
          <w:rFonts w:hint="eastAsia" w:asciiTheme="majorEastAsia" w:hAnsiTheme="majorEastAsia" w:eastAsiaTheme="majorEastAsia"/>
          <w:b/>
          <w:color w:val="000000" w:themeColor="text1"/>
          <w:sz w:val="24"/>
          <w:szCs w:val="24"/>
          <w14:textFill>
            <w14:solidFill>
              <w14:schemeClr w14:val="tx1"/>
            </w14:solidFill>
          </w14:textFill>
        </w:rPr>
        <w:t>、维保要求</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1.负责对纯水设备进行全面维护保养，保证所有纯水设备的的正常运行，以及设备整个系统的安全性和稳定性。</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r>
        <w:rPr>
          <w:rFonts w:hint="eastAsia" w:cs="Arial" w:asciiTheme="majorEastAsia" w:hAnsiTheme="majorEastAsia" w:eastAsiaTheme="majorEastAsia"/>
          <w:color w:val="000000" w:themeColor="text1"/>
          <w:sz w:val="24"/>
          <w:szCs w:val="24"/>
          <w14:textFill>
            <w14:solidFill>
              <w14:schemeClr w14:val="tx1"/>
            </w14:solidFill>
          </w14:textFill>
        </w:rPr>
        <w:t xml:space="preserve"> 维保方式为全维保性质</w:t>
      </w:r>
      <w:r>
        <w:rPr>
          <w:rFonts w:hint="eastAsia" w:asciiTheme="majorEastAsia" w:hAnsiTheme="majorEastAsia" w:eastAsiaTheme="majorEastAsia"/>
          <w:color w:val="000000" w:themeColor="text1"/>
          <w:sz w:val="24"/>
          <w:szCs w:val="24"/>
          <w14:textFill>
            <w14:solidFill>
              <w14:schemeClr w14:val="tx1"/>
            </w14:solidFill>
          </w14:textFill>
        </w:rPr>
        <w:t>（</w:t>
      </w:r>
      <w:r>
        <w:rPr>
          <w:rFonts w:hint="eastAsia" w:asciiTheme="majorEastAsia" w:hAnsiTheme="majorEastAsia" w:eastAsiaTheme="majorEastAsia"/>
          <w:color w:val="FF0000"/>
          <w:sz w:val="24"/>
          <w:szCs w:val="24"/>
        </w:rPr>
        <w:t>含日常维保人工，定期耗材、200元以下低值配件</w:t>
      </w:r>
      <w:r>
        <w:rPr>
          <w:rFonts w:hint="eastAsia" w:cs="Arial" w:asciiTheme="majorEastAsia" w:hAnsiTheme="majorEastAsia" w:eastAsiaTheme="majorEastAsia"/>
          <w:color w:val="000000" w:themeColor="text1"/>
          <w:sz w:val="24"/>
          <w:szCs w:val="24"/>
          <w14:textFill>
            <w14:solidFill>
              <w14:schemeClr w14:val="tx1"/>
            </w14:solidFill>
          </w14:textFill>
        </w:rPr>
        <w:t>）。由于该套系统投入使用时间较长，维保工作包括各套</w:t>
      </w:r>
      <w:r>
        <w:rPr>
          <w:rFonts w:hint="eastAsia" w:asciiTheme="majorEastAsia" w:hAnsiTheme="majorEastAsia" w:eastAsiaTheme="majorEastAsia"/>
          <w:color w:val="000000" w:themeColor="text1"/>
          <w:sz w:val="24"/>
          <w:szCs w:val="24"/>
          <w14:textFill>
            <w14:solidFill>
              <w14:schemeClr w14:val="tx1"/>
            </w14:solidFill>
          </w14:textFill>
        </w:rPr>
        <w:t>纯水</w:t>
      </w:r>
      <w:r>
        <w:rPr>
          <w:rFonts w:hint="eastAsia" w:cs="Arial" w:asciiTheme="majorEastAsia" w:hAnsiTheme="majorEastAsia" w:eastAsiaTheme="majorEastAsia"/>
          <w:color w:val="000000" w:themeColor="text1"/>
          <w:sz w:val="24"/>
          <w:szCs w:val="24"/>
          <w14:textFill>
            <w14:solidFill>
              <w14:schemeClr w14:val="tx1"/>
            </w14:solidFill>
          </w14:textFill>
        </w:rPr>
        <w:t>系统的机房设备和末端设备的维护维修，以及耗材的定期更换。</w:t>
      </w:r>
      <w:r>
        <w:rPr>
          <w:rFonts w:hint="eastAsia" w:asciiTheme="majorEastAsia" w:hAnsiTheme="majorEastAsia" w:eastAsiaTheme="majorEastAsia"/>
          <w:color w:val="000000" w:themeColor="text1"/>
          <w:sz w:val="24"/>
          <w:szCs w:val="24"/>
          <w14:textFill>
            <w14:solidFill>
              <w14:schemeClr w14:val="tx1"/>
            </w14:solidFill>
          </w14:textFill>
        </w:rPr>
        <w:t>纯水设备所有零部件和耗材（详见各科室纯水系统耗材及更换周期列表）更换的费用包含在维修保养费用中。</w:t>
      </w:r>
    </w:p>
    <w:p>
      <w:pPr>
        <w:pStyle w:val="1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 要求对纯水设备维护保养的性能达到相应科室用水水质标准，所有计量仪器必须符合国家标准，</w:t>
      </w:r>
      <w:r>
        <w:rPr>
          <w:rFonts w:hint="eastAsia" w:cs="Arial" w:asciiTheme="majorEastAsia" w:hAnsiTheme="majorEastAsia" w:eastAsiaTheme="majorEastAsia"/>
          <w:color w:val="000000" w:themeColor="text1"/>
          <w:sz w:val="24"/>
          <w:szCs w:val="24"/>
          <w14:textFill>
            <w14:solidFill>
              <w14:schemeClr w14:val="tx1"/>
            </w14:solidFill>
          </w14:textFill>
        </w:rPr>
        <w:t>由国家认可的第三方正规水质检验机构进行检测（1次/年），相关检测费用</w:t>
      </w:r>
      <w:r>
        <w:rPr>
          <w:rFonts w:hint="eastAsia" w:asciiTheme="majorEastAsia" w:hAnsiTheme="majorEastAsia" w:eastAsiaTheme="majorEastAsia"/>
          <w:color w:val="000000" w:themeColor="text1"/>
          <w:sz w:val="24"/>
          <w:szCs w:val="24"/>
          <w14:textFill>
            <w14:solidFill>
              <w14:schemeClr w14:val="tx1"/>
            </w14:solidFill>
          </w14:textFill>
        </w:rPr>
        <w:t>包含在维修保养费用中。</w:t>
      </w:r>
    </w:p>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r>
        <w:rPr>
          <w:rFonts w:hint="eastAsia" w:cs="Arial" w:asciiTheme="majorEastAsia" w:hAnsiTheme="majorEastAsia" w:eastAsiaTheme="majorEastAsia"/>
          <w:color w:val="000000" w:themeColor="text1"/>
          <w:sz w:val="24"/>
          <w:szCs w:val="24"/>
          <w14:textFill>
            <w14:solidFill>
              <w14:schemeClr w14:val="tx1"/>
            </w14:solidFill>
          </w14:textFill>
        </w:rPr>
        <w:t xml:space="preserve"> </w:t>
      </w:r>
      <w:r>
        <w:rPr>
          <w:rFonts w:hint="eastAsia" w:asciiTheme="majorEastAsia" w:hAnsiTheme="majorEastAsia" w:eastAsiaTheme="majorEastAsia"/>
          <w:color w:val="000000" w:themeColor="text1"/>
          <w:sz w:val="24"/>
          <w:szCs w:val="24"/>
          <w14:textFill>
            <w14:solidFill>
              <w14:schemeClr w14:val="tx1"/>
            </w14:solidFill>
          </w14:textFill>
        </w:rPr>
        <w:t>用于更换纯水设备的零部件和耗材原则上与纯水设备原装的零部件和耗材是同一厂家同一型号，如由于购买周期和停产等原因，需替换纯水设备上的零部件和耗材的型号或厂家，要求用于更换的零部件和耗材性能不低于纯水设备原装的零部件和耗材的性能。</w:t>
      </w:r>
    </w:p>
    <w:p>
      <w:pPr>
        <w:keepNext w:val="0"/>
        <w:keepLines w:val="0"/>
        <w:pageBreakBefore w:val="0"/>
        <w:kinsoku/>
        <w:wordWrap/>
        <w:overflowPunct/>
        <w:topLinePunct w:val="0"/>
        <w:autoSpaceDE/>
        <w:autoSpaceDN/>
        <w:bidi w:val="0"/>
        <w:adjustRightInd/>
        <w:snapToGrid/>
        <w:spacing w:line="360" w:lineRule="auto"/>
        <w:rPr>
          <w:rFonts w:cs="宋体"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 xml:space="preserve">5. </w:t>
      </w:r>
      <w:r>
        <w:rPr>
          <w:rFonts w:hint="eastAsia" w:cs="宋体" w:asciiTheme="majorEastAsia" w:hAnsiTheme="majorEastAsia" w:eastAsiaTheme="majorEastAsia"/>
          <w:color w:val="000000" w:themeColor="text1"/>
          <w:kern w:val="0"/>
          <w:sz w:val="24"/>
          <w:szCs w:val="24"/>
          <w14:textFill>
            <w14:solidFill>
              <w14:schemeClr w14:val="tx1"/>
            </w14:solidFill>
          </w14:textFill>
        </w:rPr>
        <w:t>要求每月一次对各科室纯水系统</w:t>
      </w:r>
      <w:r>
        <w:rPr>
          <w:rFonts w:hint="eastAsia" w:cs="Arial" w:asciiTheme="majorEastAsia" w:hAnsiTheme="majorEastAsia" w:eastAsiaTheme="majorEastAsia"/>
          <w:color w:val="000000" w:themeColor="text1"/>
          <w:kern w:val="0"/>
          <w:sz w:val="24"/>
          <w:szCs w:val="24"/>
          <w14:textFill>
            <w14:solidFill>
              <w14:schemeClr w14:val="tx1"/>
            </w14:solidFill>
          </w14:textFill>
        </w:rPr>
        <w:t>进行维护、保养、巡视及定时更换相关耗材，对出现故障或损坏的配件进行更换，应急故障处理及紧急抢修等，</w:t>
      </w:r>
      <w:r>
        <w:rPr>
          <w:rFonts w:hint="eastAsia" w:cs="宋体" w:asciiTheme="majorEastAsia" w:hAnsiTheme="majorEastAsia" w:eastAsiaTheme="majorEastAsia"/>
          <w:color w:val="000000" w:themeColor="text1"/>
          <w:kern w:val="0"/>
          <w:sz w:val="24"/>
          <w:szCs w:val="24"/>
          <w14:textFill>
            <w14:solidFill>
              <w14:schemeClr w14:val="tx1"/>
            </w14:solidFill>
          </w14:textFill>
        </w:rPr>
        <w:t>接到故障报修需在12小时内响应到位，24小时内维修恢复正常</w:t>
      </w:r>
      <w:r>
        <w:rPr>
          <w:rFonts w:hint="eastAsia" w:cs="Arial" w:asciiTheme="majorEastAsia" w:hAnsiTheme="majorEastAsia" w:eastAsiaTheme="majorEastAsia"/>
          <w:color w:val="000000" w:themeColor="text1"/>
          <w:kern w:val="0"/>
          <w:sz w:val="24"/>
          <w:szCs w:val="24"/>
          <w14:textFill>
            <w14:solidFill>
              <w14:schemeClr w14:val="tx1"/>
            </w14:solidFill>
          </w14:textFill>
        </w:rPr>
        <w:t>。及时发现和纠正可能出现的问题，排除潜在的隐患，保证</w:t>
      </w:r>
      <w:r>
        <w:rPr>
          <w:rFonts w:hint="eastAsia" w:asciiTheme="majorEastAsia" w:hAnsiTheme="majorEastAsia" w:eastAsiaTheme="majorEastAsia"/>
          <w:color w:val="000000" w:themeColor="text1"/>
          <w:sz w:val="24"/>
          <w:szCs w:val="24"/>
          <w14:textFill>
            <w14:solidFill>
              <w14:schemeClr w14:val="tx1"/>
            </w14:solidFill>
          </w14:textFill>
        </w:rPr>
        <w:t>中央纯水供应</w:t>
      </w:r>
      <w:r>
        <w:rPr>
          <w:rFonts w:hint="eastAsia" w:cs="Arial" w:asciiTheme="majorEastAsia" w:hAnsiTheme="majorEastAsia" w:eastAsiaTheme="majorEastAsia"/>
          <w:color w:val="000000" w:themeColor="text1"/>
          <w:kern w:val="0"/>
          <w:sz w:val="24"/>
          <w:szCs w:val="24"/>
          <w14:textFill>
            <w14:solidFill>
              <w14:schemeClr w14:val="tx1"/>
            </w14:solidFill>
          </w14:textFill>
        </w:rPr>
        <w:t>系统的正常运行</w:t>
      </w:r>
      <w:r>
        <w:rPr>
          <w:rFonts w:hint="eastAsia" w:cs="宋体" w:asciiTheme="majorEastAsia" w:hAnsiTheme="majorEastAsia" w:eastAsiaTheme="majorEastAsia"/>
          <w:color w:val="000000" w:themeColor="text1"/>
          <w:kern w:val="0"/>
          <w:sz w:val="24"/>
          <w:szCs w:val="24"/>
          <w14:textFill>
            <w14:solidFill>
              <w14:schemeClr w14:val="tx1"/>
            </w14:solidFill>
          </w14:textFill>
        </w:rPr>
        <w:t>，并</w:t>
      </w:r>
      <w:r>
        <w:rPr>
          <w:rFonts w:hint="eastAsia" w:cs="Arial" w:asciiTheme="majorEastAsia" w:hAnsiTheme="majorEastAsia" w:eastAsiaTheme="majorEastAsia"/>
          <w:color w:val="000000" w:themeColor="text1"/>
          <w:kern w:val="0"/>
          <w:sz w:val="24"/>
          <w:szCs w:val="24"/>
          <w14:textFill>
            <w14:solidFill>
              <w14:schemeClr w14:val="tx1"/>
            </w14:solidFill>
          </w14:textFill>
        </w:rPr>
        <w:t>提供巡检维保资料</w:t>
      </w:r>
      <w:r>
        <w:rPr>
          <w:rFonts w:cs="Arial" w:asciiTheme="majorEastAsia" w:hAnsiTheme="majorEastAsia" w:eastAsiaTheme="majorEastAsia"/>
          <w:color w:val="000000" w:themeColor="text1"/>
          <w:kern w:val="0"/>
          <w:sz w:val="24"/>
          <w:szCs w:val="24"/>
          <w14:textFill>
            <w14:solidFill>
              <w14:schemeClr w14:val="tx1"/>
            </w14:solidFill>
          </w14:textFill>
        </w:rPr>
        <w:t>书面报告</w:t>
      </w:r>
      <w:r>
        <w:rPr>
          <w:rFonts w:hint="eastAsia" w:cs="Arial" w:asciiTheme="majorEastAsia" w:hAnsiTheme="majorEastAsia" w:eastAsiaTheme="majorEastAsia"/>
          <w:color w:val="000000" w:themeColor="text1"/>
          <w:kern w:val="0"/>
          <w:sz w:val="24"/>
          <w:szCs w:val="24"/>
          <w14:textFill>
            <w14:solidFill>
              <w14:schemeClr w14:val="tx1"/>
            </w14:solidFill>
          </w14:textFill>
        </w:rPr>
        <w:t>院方</w:t>
      </w:r>
      <w:r>
        <w:rPr>
          <w:rFonts w:hint="eastAsia" w:cs="宋体" w:asciiTheme="majorEastAsia" w:hAnsiTheme="majorEastAsia" w:eastAsiaTheme="majorEastAsia"/>
          <w:color w:val="000000" w:themeColor="text1"/>
          <w:kern w:val="0"/>
          <w:sz w:val="24"/>
          <w:szCs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b/>
          <w:color w:val="000000" w:themeColor="text1"/>
          <w:sz w:val="24"/>
          <w:szCs w:val="24"/>
          <w14:textFill>
            <w14:solidFill>
              <w14:schemeClr w14:val="tx1"/>
            </w14:solidFill>
          </w14:textFill>
        </w:rPr>
      </w:pPr>
      <w:r>
        <w:rPr>
          <w:rFonts w:hint="eastAsia" w:asciiTheme="majorEastAsia" w:hAnsiTheme="majorEastAsia" w:eastAsiaTheme="majorEastAsia"/>
          <w:b/>
          <w:color w:val="000000" w:themeColor="text1"/>
          <w:sz w:val="24"/>
          <w:szCs w:val="24"/>
          <w:lang w:val="en-US" w:eastAsia="zh-CN"/>
          <w14:textFill>
            <w14:solidFill>
              <w14:schemeClr w14:val="tx1"/>
            </w14:solidFill>
          </w14:textFill>
        </w:rPr>
        <w:t>三</w:t>
      </w:r>
      <w:r>
        <w:rPr>
          <w:rFonts w:hint="eastAsia" w:asciiTheme="majorEastAsia" w:hAnsiTheme="majorEastAsia" w:eastAsiaTheme="majorEastAsia"/>
          <w:b/>
          <w:color w:val="000000" w:themeColor="text1"/>
          <w:sz w:val="24"/>
          <w:szCs w:val="24"/>
          <w14:textFill>
            <w14:solidFill>
              <w14:schemeClr w14:val="tx1"/>
            </w14:solidFill>
          </w14:textFill>
        </w:rPr>
        <w:t>、纯水系统耗材及更换周期</w:t>
      </w:r>
    </w:p>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1.供应室水机</w:t>
      </w:r>
    </w:p>
    <w:tbl>
      <w:tblPr>
        <w:tblStyle w:val="14"/>
        <w:tblW w:w="9402" w:type="dxa"/>
        <w:tblInd w:w="-10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2721"/>
        <w:gridCol w:w="1138"/>
        <w:gridCol w:w="1185"/>
        <w:gridCol w:w="1485"/>
        <w:gridCol w:w="212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rPr>
        <w:tc>
          <w:tcPr>
            <w:tcW w:w="7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序号</w:t>
            </w:r>
          </w:p>
        </w:tc>
        <w:tc>
          <w:tcPr>
            <w:tcW w:w="27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耗品名称、及规格</w:t>
            </w:r>
          </w:p>
        </w:tc>
        <w:tc>
          <w:tcPr>
            <w:tcW w:w="113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单位</w:t>
            </w:r>
          </w:p>
        </w:tc>
        <w:tc>
          <w:tcPr>
            <w:tcW w:w="11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数量</w:t>
            </w:r>
          </w:p>
        </w:tc>
        <w:tc>
          <w:tcPr>
            <w:tcW w:w="1485"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正常更换</w:t>
            </w:r>
          </w:p>
        </w:tc>
        <w:tc>
          <w:tcPr>
            <w:tcW w:w="2123"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lang w:eastAsia="zh-CN"/>
                <w14:textFill>
                  <w14:solidFill>
                    <w14:schemeClr w14:val="tx1"/>
                  </w14:solidFill>
                </w14:textFill>
              </w:rPr>
              <w:t>推荐品牌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20"10μm精密滤芯</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3个月</w:t>
            </w:r>
          </w:p>
        </w:tc>
        <w:tc>
          <w:tcPr>
            <w:tcW w:w="2123" w:type="dxa"/>
            <w:vAlign w:val="top"/>
          </w:tcPr>
          <w:p>
            <w:pPr>
              <w:widowControl w:val="0"/>
              <w:jc w:val="center"/>
              <w:rPr>
                <w:rFonts w:ascii="宋体" w:hAnsi="宋体"/>
                <w:color w:val="000000"/>
                <w:sz w:val="24"/>
                <w:szCs w:val="21"/>
              </w:rPr>
            </w:pPr>
            <w:r>
              <w:rPr>
                <w:rFonts w:hint="eastAsia" w:ascii="宋体" w:hAnsi="宋体"/>
                <w:color w:val="000000"/>
                <w:sz w:val="24"/>
                <w:szCs w:val="21"/>
              </w:rPr>
              <w:t>航滤</w:t>
            </w:r>
          </w:p>
          <w:p>
            <w:pPr>
              <w:widowControl w:val="0"/>
              <w:jc w:val="center"/>
              <w:rPr>
                <w:rFonts w:ascii="宋体" w:hAnsi="宋体"/>
                <w:color w:val="000000"/>
                <w:sz w:val="24"/>
                <w:szCs w:val="21"/>
              </w:rPr>
            </w:pPr>
            <w:r>
              <w:rPr>
                <w:rFonts w:ascii="宋体" w:hAnsi="宋体"/>
                <w:color w:val="000000"/>
                <w:sz w:val="24"/>
                <w:szCs w:val="21"/>
              </w:rPr>
              <w:t>Y</w:t>
            </w:r>
            <w:r>
              <w:rPr>
                <w:rFonts w:hint="eastAsia" w:ascii="宋体" w:hAnsi="宋体"/>
                <w:color w:val="000000"/>
                <w:sz w:val="24"/>
                <w:szCs w:val="21"/>
              </w:rPr>
              <w:t>onseng</w:t>
            </w:r>
          </w:p>
          <w:p>
            <w:pPr>
              <w:widowControl w:val="0"/>
              <w:jc w:val="center"/>
              <w:rPr>
                <w:rFonts w:ascii="宋体" w:hAnsi="宋体"/>
                <w:color w:val="000000"/>
                <w:sz w:val="24"/>
                <w:szCs w:val="21"/>
              </w:rPr>
            </w:pPr>
            <w:r>
              <w:rPr>
                <w:rFonts w:hint="eastAsia" w:ascii="宋体" w:hAnsi="宋体"/>
                <w:color w:val="000000"/>
                <w:sz w:val="24"/>
                <w:szCs w:val="21"/>
              </w:rPr>
              <w:t>洁源</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20"0.1μm内毒素滤芯</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6个月</w:t>
            </w:r>
          </w:p>
        </w:tc>
        <w:tc>
          <w:tcPr>
            <w:tcW w:w="2123" w:type="dxa"/>
            <w:vAlign w:val="top"/>
          </w:tcPr>
          <w:p>
            <w:pPr>
              <w:widowControl w:val="0"/>
              <w:jc w:val="center"/>
              <w:rPr>
                <w:rFonts w:ascii="宋体" w:hAnsi="宋体"/>
                <w:color w:val="000000"/>
                <w:sz w:val="24"/>
                <w:szCs w:val="21"/>
              </w:rPr>
            </w:pPr>
            <w:r>
              <w:rPr>
                <w:rFonts w:hint="eastAsia" w:ascii="宋体" w:hAnsi="宋体"/>
                <w:color w:val="000000"/>
                <w:sz w:val="24"/>
                <w:szCs w:val="21"/>
              </w:rPr>
              <w:t>航滤</w:t>
            </w:r>
          </w:p>
          <w:p>
            <w:pPr>
              <w:widowControl w:val="0"/>
              <w:jc w:val="center"/>
              <w:rPr>
                <w:rFonts w:ascii="宋体" w:hAnsi="宋体"/>
                <w:color w:val="000000"/>
                <w:sz w:val="24"/>
                <w:szCs w:val="21"/>
              </w:rPr>
            </w:pPr>
            <w:r>
              <w:rPr>
                <w:rFonts w:ascii="宋体" w:hAnsi="宋体"/>
                <w:color w:val="000000"/>
                <w:sz w:val="24"/>
                <w:szCs w:val="21"/>
              </w:rPr>
              <w:t>Y</w:t>
            </w:r>
            <w:r>
              <w:rPr>
                <w:rFonts w:hint="eastAsia" w:ascii="宋体" w:hAnsi="宋体"/>
                <w:color w:val="000000"/>
                <w:sz w:val="24"/>
                <w:szCs w:val="21"/>
              </w:rPr>
              <w:t>onseng</w:t>
            </w:r>
          </w:p>
          <w:p>
            <w:pPr>
              <w:widowControl w:val="0"/>
              <w:jc w:val="center"/>
              <w:rPr>
                <w:rFonts w:ascii="宋体" w:hAnsi="宋体"/>
                <w:color w:val="000000"/>
                <w:sz w:val="24"/>
                <w:szCs w:val="21"/>
              </w:rPr>
            </w:pPr>
            <w:r>
              <w:rPr>
                <w:rFonts w:hint="eastAsia" w:ascii="宋体" w:hAnsi="宋体"/>
                <w:color w:val="000000"/>
                <w:sz w:val="24"/>
                <w:szCs w:val="21"/>
              </w:rPr>
              <w:t>洁源</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美国进口反渗膜HSRO8040</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2年</w:t>
            </w:r>
          </w:p>
        </w:tc>
        <w:tc>
          <w:tcPr>
            <w:tcW w:w="2123" w:type="dxa"/>
            <w:vAlign w:val="top"/>
          </w:tcPr>
          <w:p>
            <w:pPr>
              <w:widowControl w:val="0"/>
              <w:jc w:val="center"/>
              <w:rPr>
                <w:rFonts w:ascii="宋体" w:hAnsi="宋体"/>
                <w:color w:val="000000"/>
                <w:sz w:val="24"/>
                <w:szCs w:val="21"/>
              </w:rPr>
            </w:pPr>
            <w:r>
              <w:rPr>
                <w:rFonts w:ascii="宋体" w:hAnsi="宋体"/>
                <w:color w:val="000000"/>
                <w:sz w:val="24"/>
                <w:szCs w:val="21"/>
              </w:rPr>
              <w:t>陶氏</w:t>
            </w:r>
          </w:p>
          <w:p>
            <w:pPr>
              <w:widowControl w:val="0"/>
              <w:jc w:val="center"/>
              <w:rPr>
                <w:rFonts w:ascii="宋体" w:hAnsi="宋体"/>
                <w:color w:val="000000"/>
                <w:sz w:val="24"/>
                <w:szCs w:val="21"/>
              </w:rPr>
            </w:pPr>
            <w:r>
              <w:rPr>
                <w:rFonts w:hint="eastAsia" w:ascii="宋体" w:hAnsi="宋体"/>
                <w:color w:val="000000"/>
                <w:sz w:val="24"/>
                <w:szCs w:val="21"/>
              </w:rPr>
              <w:t>海德能</w:t>
            </w:r>
          </w:p>
          <w:p>
            <w:pPr>
              <w:widowControl w:val="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szCs w:val="21"/>
              </w:rPr>
              <w:t>GE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净水活性炭</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罐</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10-12个月</w:t>
            </w:r>
          </w:p>
        </w:tc>
        <w:tc>
          <w:tcPr>
            <w:tcW w:w="2123" w:type="dxa"/>
            <w:vAlign w:val="top"/>
          </w:tcPr>
          <w:p>
            <w:pPr>
              <w:widowControl w:val="0"/>
              <w:jc w:val="center"/>
              <w:rPr>
                <w:rFonts w:ascii="宋体" w:hAnsi="宋体"/>
                <w:color w:val="000000"/>
                <w:sz w:val="24"/>
                <w:szCs w:val="21"/>
              </w:rPr>
            </w:pPr>
            <w:r>
              <w:rPr>
                <w:rFonts w:hint="eastAsia" w:ascii="宋体" w:hAnsi="宋体"/>
                <w:color w:val="000000"/>
                <w:sz w:val="24"/>
                <w:szCs w:val="21"/>
              </w:rPr>
              <w:t>燕行</w:t>
            </w:r>
          </w:p>
          <w:p>
            <w:pPr>
              <w:widowControl w:val="0"/>
              <w:jc w:val="center"/>
              <w:rPr>
                <w:rFonts w:ascii="宋体" w:hAnsi="宋体"/>
                <w:color w:val="000000"/>
                <w:sz w:val="24"/>
                <w:szCs w:val="21"/>
              </w:rPr>
            </w:pPr>
            <w:r>
              <w:rPr>
                <w:rFonts w:hint="eastAsia" w:ascii="宋体" w:hAnsi="宋体"/>
                <w:color w:val="000000"/>
                <w:sz w:val="24"/>
                <w:szCs w:val="21"/>
              </w:rPr>
              <w:t>绿净</w:t>
            </w:r>
          </w:p>
          <w:p>
            <w:pPr>
              <w:widowControl w:val="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szCs w:val="21"/>
              </w:rPr>
              <w:t>绿世界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软化树脂</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罐</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1年</w:t>
            </w:r>
          </w:p>
        </w:tc>
        <w:tc>
          <w:tcPr>
            <w:tcW w:w="2123" w:type="dxa"/>
            <w:vAlign w:val="top"/>
          </w:tcPr>
          <w:p>
            <w:pPr>
              <w:widowControl w:val="0"/>
              <w:jc w:val="center"/>
              <w:rPr>
                <w:rFonts w:ascii="宋体" w:hAnsi="宋体"/>
                <w:color w:val="000000"/>
                <w:sz w:val="24"/>
                <w:szCs w:val="21"/>
              </w:rPr>
            </w:pPr>
            <w:r>
              <w:rPr>
                <w:rFonts w:ascii="宋体" w:hAnsi="宋体"/>
                <w:color w:val="000000"/>
                <w:sz w:val="24"/>
                <w:szCs w:val="21"/>
              </w:rPr>
              <w:t>争光</w:t>
            </w:r>
          </w:p>
          <w:p>
            <w:pPr>
              <w:widowControl w:val="0"/>
              <w:jc w:val="center"/>
              <w:rPr>
                <w:rFonts w:ascii="宋体" w:hAnsi="宋体"/>
                <w:color w:val="000000"/>
                <w:sz w:val="24"/>
                <w:szCs w:val="21"/>
              </w:rPr>
            </w:pPr>
            <w:r>
              <w:rPr>
                <w:rFonts w:hint="eastAsia" w:ascii="宋体" w:hAnsi="宋体"/>
                <w:color w:val="000000"/>
                <w:sz w:val="24"/>
                <w:szCs w:val="21"/>
              </w:rPr>
              <w:t>漂莱特</w:t>
            </w:r>
          </w:p>
          <w:p>
            <w:pPr>
              <w:widowControl w:val="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szCs w:val="21"/>
              </w:rPr>
              <w:t>罗蒙哈斯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紫外线灯管29W</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1年</w:t>
            </w:r>
          </w:p>
        </w:tc>
        <w:tc>
          <w:tcPr>
            <w:tcW w:w="2123" w:type="dxa"/>
            <w:vAlign w:val="top"/>
          </w:tcPr>
          <w:p>
            <w:pPr>
              <w:pStyle w:val="3"/>
              <w:shd w:val="clear" w:color="auto" w:fill="FFFFFF"/>
              <w:spacing w:before="0" w:after="0" w:line="315" w:lineRule="atLeast"/>
              <w:jc w:val="center"/>
              <w:rPr>
                <w:rFonts w:ascii="宋体" w:hAnsi="宋体"/>
                <w:b w:val="0"/>
                <w:bCs w:val="0"/>
                <w:color w:val="000000"/>
                <w:sz w:val="24"/>
                <w:szCs w:val="21"/>
              </w:rPr>
            </w:pPr>
            <w:r>
              <w:rPr>
                <w:rFonts w:ascii="宋体" w:hAnsi="宋体"/>
                <w:b w:val="0"/>
                <w:bCs w:val="0"/>
                <w:color w:val="000000"/>
                <w:sz w:val="24"/>
                <w:szCs w:val="21"/>
              </w:rPr>
              <w:t>Hanovia</w:t>
            </w:r>
          </w:p>
          <w:p>
            <w:pPr>
              <w:widowControl w:val="0"/>
              <w:jc w:val="center"/>
              <w:rPr>
                <w:rFonts w:ascii="宋体" w:hAnsi="宋体"/>
                <w:color w:val="000000"/>
                <w:sz w:val="24"/>
                <w:szCs w:val="21"/>
              </w:rPr>
            </w:pPr>
            <w:r>
              <w:rPr>
                <w:rFonts w:ascii="宋体" w:hAnsi="宋体"/>
                <w:color w:val="000000"/>
                <w:sz w:val="24"/>
                <w:szCs w:val="21"/>
              </w:rPr>
              <w:t>LIGHT</w:t>
            </w:r>
            <w:r>
              <w:rPr>
                <w:rFonts w:hint="eastAsia" w:ascii="宋体" w:hAnsi="宋体"/>
                <w:color w:val="000000"/>
                <w:sz w:val="24"/>
                <w:szCs w:val="21"/>
              </w:rPr>
              <w:t xml:space="preserve"> </w:t>
            </w:r>
            <w:r>
              <w:rPr>
                <w:rFonts w:ascii="宋体" w:hAnsi="宋体"/>
                <w:color w:val="000000"/>
                <w:sz w:val="24"/>
                <w:szCs w:val="21"/>
              </w:rPr>
              <w:t>SOURCES</w:t>
            </w:r>
          </w:p>
          <w:p>
            <w:pPr>
              <w:pStyle w:val="3"/>
              <w:shd w:val="clear" w:color="auto" w:fill="FFFFFF"/>
              <w:spacing w:before="0" w:after="0" w:line="315" w:lineRule="atLeast"/>
              <w:jc w:val="center"/>
              <w:rPr>
                <w:rFonts w:ascii="宋体" w:hAnsi="宋体"/>
                <w:b w:val="0"/>
                <w:bCs w:val="0"/>
                <w:color w:val="000000"/>
                <w:sz w:val="24"/>
                <w:szCs w:val="21"/>
              </w:rPr>
            </w:pPr>
            <w:r>
              <w:rPr>
                <w:rFonts w:ascii="宋体" w:hAnsi="宋体"/>
                <w:b w:val="0"/>
                <w:bCs w:val="0"/>
                <w:color w:val="000000"/>
                <w:sz w:val="24"/>
                <w:szCs w:val="21"/>
              </w:rPr>
              <w:t>AQUAFINE</w:t>
            </w:r>
          </w:p>
          <w:p>
            <w:pPr>
              <w:widowControl w:val="0"/>
              <w:jc w:val="center"/>
              <w:rPr>
                <w:rFonts w:ascii="宋体" w:hAnsi="宋体"/>
                <w:color w:val="000000"/>
                <w:sz w:val="24"/>
                <w:szCs w:val="21"/>
              </w:rPr>
            </w:pP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管道消毒</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次</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3-6个</w:t>
            </w:r>
          </w:p>
        </w:tc>
        <w:tc>
          <w:tcPr>
            <w:tcW w:w="2123" w:type="dxa"/>
            <w:vAlign w:val="top"/>
          </w:tcPr>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8</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纯水供水管道</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套</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检修</w:t>
            </w:r>
          </w:p>
        </w:tc>
        <w:tc>
          <w:tcPr>
            <w:tcW w:w="2123" w:type="dxa"/>
            <w:vAlign w:val="top"/>
          </w:tcPr>
          <w:p>
            <w:pPr>
              <w:widowControl w:val="0"/>
              <w:jc w:val="center"/>
              <w:rPr>
                <w:rFonts w:hint="eastAsia" w:ascii="宋体" w:hAnsi="宋体" w:eastAsia="宋体" w:cs="Times New Roman"/>
                <w:color w:val="000000"/>
                <w:kern w:val="2"/>
                <w:sz w:val="24"/>
                <w:szCs w:val="21"/>
                <w:lang w:val="en-US" w:eastAsia="zh-CN" w:bidi="ar-SA"/>
              </w:rPr>
            </w:pPr>
          </w:p>
        </w:tc>
      </w:tr>
    </w:tbl>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2.生化室水处理(根据省质控要求和建议周期更换):</w:t>
      </w:r>
    </w:p>
    <w:tbl>
      <w:tblPr>
        <w:tblStyle w:val="14"/>
        <w:tblW w:w="9432" w:type="dxa"/>
        <w:tblInd w:w="-10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2721"/>
        <w:gridCol w:w="1153"/>
        <w:gridCol w:w="1170"/>
        <w:gridCol w:w="1485"/>
        <w:gridCol w:w="215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rPr>
        <w:tc>
          <w:tcPr>
            <w:tcW w:w="7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序号</w:t>
            </w:r>
          </w:p>
        </w:tc>
        <w:tc>
          <w:tcPr>
            <w:tcW w:w="27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耗品名称、及规格</w:t>
            </w:r>
          </w:p>
        </w:tc>
        <w:tc>
          <w:tcPr>
            <w:tcW w:w="1153"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单位</w:t>
            </w:r>
          </w:p>
        </w:tc>
        <w:tc>
          <w:tcPr>
            <w:tcW w:w="117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数量</w:t>
            </w:r>
          </w:p>
        </w:tc>
        <w:tc>
          <w:tcPr>
            <w:tcW w:w="1485"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正常更换</w:t>
            </w:r>
          </w:p>
        </w:tc>
        <w:tc>
          <w:tcPr>
            <w:tcW w:w="2153"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lang w:eastAsia="zh-CN"/>
                <w14:textFill>
                  <w14:solidFill>
                    <w14:schemeClr w14:val="tx1"/>
                  </w14:solidFill>
                </w14:textFill>
              </w:rPr>
              <w:t>推荐品牌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20"10μm精密滤芯</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10</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3个月</w:t>
            </w:r>
          </w:p>
        </w:tc>
        <w:tc>
          <w:tcPr>
            <w:tcW w:w="2153" w:type="dxa"/>
            <w:vAlign w:val="top"/>
          </w:tcPr>
          <w:p>
            <w:pPr>
              <w:widowControl w:val="0"/>
              <w:jc w:val="center"/>
              <w:rPr>
                <w:rFonts w:ascii="宋体" w:hAnsi="宋体"/>
                <w:color w:val="000000"/>
                <w:sz w:val="24"/>
                <w:szCs w:val="21"/>
              </w:rPr>
            </w:pPr>
            <w:r>
              <w:rPr>
                <w:rFonts w:hint="eastAsia" w:ascii="宋体" w:hAnsi="宋体"/>
                <w:color w:val="000000"/>
                <w:sz w:val="24"/>
                <w:szCs w:val="21"/>
              </w:rPr>
              <w:t>航滤</w:t>
            </w:r>
          </w:p>
          <w:p>
            <w:pPr>
              <w:widowControl w:val="0"/>
              <w:jc w:val="center"/>
              <w:rPr>
                <w:rFonts w:ascii="宋体" w:hAnsi="宋体"/>
                <w:color w:val="000000"/>
                <w:sz w:val="24"/>
                <w:szCs w:val="21"/>
              </w:rPr>
            </w:pPr>
            <w:r>
              <w:rPr>
                <w:rFonts w:ascii="宋体" w:hAnsi="宋体"/>
                <w:color w:val="000000"/>
                <w:sz w:val="24"/>
                <w:szCs w:val="21"/>
              </w:rPr>
              <w:t>Y</w:t>
            </w:r>
            <w:r>
              <w:rPr>
                <w:rFonts w:hint="eastAsia" w:ascii="宋体" w:hAnsi="宋体"/>
                <w:color w:val="000000"/>
                <w:sz w:val="24"/>
                <w:szCs w:val="21"/>
              </w:rPr>
              <w:t>onseng</w:t>
            </w:r>
          </w:p>
          <w:p>
            <w:pPr>
              <w:widowControl w:val="0"/>
              <w:jc w:val="center"/>
              <w:rPr>
                <w:rFonts w:ascii="宋体" w:hAnsi="宋体"/>
                <w:color w:val="000000"/>
                <w:sz w:val="24"/>
                <w:szCs w:val="21"/>
              </w:rPr>
            </w:pPr>
            <w:r>
              <w:rPr>
                <w:rFonts w:hint="eastAsia" w:ascii="宋体" w:hAnsi="宋体"/>
                <w:color w:val="000000"/>
                <w:sz w:val="24"/>
                <w:szCs w:val="21"/>
              </w:rPr>
              <w:t>洁源</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20"0.1μm内毒素滤芯</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6个月</w:t>
            </w:r>
          </w:p>
        </w:tc>
        <w:tc>
          <w:tcPr>
            <w:tcW w:w="2153" w:type="dxa"/>
            <w:vAlign w:val="top"/>
          </w:tcPr>
          <w:p>
            <w:pPr>
              <w:widowControl w:val="0"/>
              <w:jc w:val="center"/>
              <w:rPr>
                <w:rFonts w:ascii="宋体" w:hAnsi="宋体"/>
                <w:color w:val="000000"/>
                <w:sz w:val="24"/>
                <w:szCs w:val="21"/>
              </w:rPr>
            </w:pPr>
            <w:r>
              <w:rPr>
                <w:rFonts w:hint="eastAsia" w:ascii="宋体" w:hAnsi="宋体"/>
                <w:color w:val="000000"/>
                <w:sz w:val="24"/>
                <w:szCs w:val="21"/>
              </w:rPr>
              <w:t>航滤</w:t>
            </w:r>
          </w:p>
          <w:p>
            <w:pPr>
              <w:widowControl w:val="0"/>
              <w:jc w:val="center"/>
              <w:rPr>
                <w:rFonts w:ascii="宋体" w:hAnsi="宋体"/>
                <w:color w:val="000000"/>
                <w:sz w:val="24"/>
                <w:szCs w:val="21"/>
              </w:rPr>
            </w:pPr>
            <w:r>
              <w:rPr>
                <w:rFonts w:ascii="宋体" w:hAnsi="宋体"/>
                <w:color w:val="000000"/>
                <w:sz w:val="24"/>
                <w:szCs w:val="21"/>
              </w:rPr>
              <w:t>Y</w:t>
            </w:r>
            <w:r>
              <w:rPr>
                <w:rFonts w:hint="eastAsia" w:ascii="宋体" w:hAnsi="宋体"/>
                <w:color w:val="000000"/>
                <w:sz w:val="24"/>
                <w:szCs w:val="21"/>
              </w:rPr>
              <w:t>onseng</w:t>
            </w:r>
          </w:p>
          <w:p>
            <w:pPr>
              <w:widowControl w:val="0"/>
              <w:jc w:val="center"/>
              <w:rPr>
                <w:rFonts w:ascii="宋体" w:hAnsi="宋体"/>
                <w:color w:val="000000"/>
                <w:sz w:val="24"/>
                <w:szCs w:val="21"/>
              </w:rPr>
            </w:pPr>
            <w:r>
              <w:rPr>
                <w:rFonts w:hint="eastAsia" w:ascii="宋体" w:hAnsi="宋体"/>
                <w:color w:val="000000"/>
                <w:sz w:val="24"/>
                <w:szCs w:val="21"/>
              </w:rPr>
              <w:t>洁源</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一级进口反渗膜HSRO4040</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2年</w:t>
            </w:r>
          </w:p>
        </w:tc>
        <w:tc>
          <w:tcPr>
            <w:tcW w:w="2153" w:type="dxa"/>
            <w:vAlign w:val="top"/>
          </w:tcPr>
          <w:p>
            <w:pPr>
              <w:widowControl w:val="0"/>
              <w:jc w:val="center"/>
              <w:rPr>
                <w:rFonts w:ascii="宋体" w:hAnsi="宋体"/>
                <w:color w:val="000000"/>
                <w:sz w:val="24"/>
                <w:szCs w:val="21"/>
              </w:rPr>
            </w:pPr>
            <w:r>
              <w:rPr>
                <w:rFonts w:ascii="宋体" w:hAnsi="宋体"/>
                <w:color w:val="000000"/>
                <w:sz w:val="24"/>
                <w:szCs w:val="21"/>
              </w:rPr>
              <w:t>陶氏</w:t>
            </w:r>
          </w:p>
          <w:p>
            <w:pPr>
              <w:widowControl w:val="0"/>
              <w:jc w:val="center"/>
              <w:rPr>
                <w:rFonts w:ascii="宋体" w:hAnsi="宋体"/>
                <w:color w:val="000000"/>
                <w:sz w:val="24"/>
                <w:szCs w:val="21"/>
              </w:rPr>
            </w:pPr>
            <w:r>
              <w:rPr>
                <w:rFonts w:hint="eastAsia" w:ascii="宋体" w:hAnsi="宋体"/>
                <w:color w:val="000000"/>
                <w:sz w:val="24"/>
                <w:szCs w:val="21"/>
              </w:rPr>
              <w:t>海德能</w:t>
            </w:r>
          </w:p>
          <w:p>
            <w:pPr>
              <w:widowControl w:val="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szCs w:val="21"/>
              </w:rPr>
              <w:t>GE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二级进口反渗膜HSRO4040</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3年</w:t>
            </w:r>
          </w:p>
        </w:tc>
        <w:tc>
          <w:tcPr>
            <w:tcW w:w="2153"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EDI装置</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套</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2年</w:t>
            </w:r>
          </w:p>
        </w:tc>
        <w:tc>
          <w:tcPr>
            <w:tcW w:w="2153" w:type="dxa"/>
            <w:vAlign w:val="top"/>
          </w:tcPr>
          <w:p>
            <w:pPr>
              <w:widowControl w:val="0"/>
              <w:jc w:val="center"/>
              <w:rPr>
                <w:rFonts w:ascii="宋体" w:hAnsi="宋体"/>
                <w:color w:val="000000"/>
                <w:sz w:val="24"/>
                <w:szCs w:val="21"/>
              </w:rPr>
            </w:pPr>
            <w:r>
              <w:rPr>
                <w:rFonts w:ascii="宋体" w:hAnsi="宋体"/>
                <w:color w:val="000000"/>
                <w:sz w:val="24"/>
                <w:szCs w:val="21"/>
              </w:rPr>
              <w:t>争光</w:t>
            </w:r>
          </w:p>
          <w:p>
            <w:pPr>
              <w:widowControl w:val="0"/>
              <w:jc w:val="center"/>
              <w:rPr>
                <w:rFonts w:ascii="宋体" w:hAnsi="宋体"/>
                <w:color w:val="000000"/>
                <w:sz w:val="24"/>
                <w:szCs w:val="21"/>
              </w:rPr>
            </w:pPr>
            <w:r>
              <w:rPr>
                <w:rFonts w:hint="eastAsia" w:ascii="宋体" w:hAnsi="宋体"/>
                <w:color w:val="000000"/>
                <w:sz w:val="24"/>
                <w:szCs w:val="21"/>
              </w:rPr>
              <w:t>漂莱特</w:t>
            </w:r>
          </w:p>
          <w:p>
            <w:pPr>
              <w:widowControl w:val="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szCs w:val="21"/>
              </w:rPr>
              <w:t>罗蒙哈斯</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净水活性炭</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罐</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12个月</w:t>
            </w:r>
          </w:p>
        </w:tc>
        <w:tc>
          <w:tcPr>
            <w:tcW w:w="2153" w:type="dxa"/>
            <w:vAlign w:val="top"/>
          </w:tcPr>
          <w:p>
            <w:pPr>
              <w:pStyle w:val="3"/>
              <w:shd w:val="clear" w:color="auto" w:fill="FFFFFF"/>
              <w:spacing w:before="0" w:after="0" w:line="315" w:lineRule="atLeast"/>
              <w:jc w:val="center"/>
              <w:rPr>
                <w:rFonts w:ascii="宋体" w:hAnsi="宋体"/>
                <w:b w:val="0"/>
                <w:bCs w:val="0"/>
                <w:color w:val="000000"/>
                <w:sz w:val="24"/>
                <w:szCs w:val="21"/>
              </w:rPr>
            </w:pPr>
            <w:r>
              <w:rPr>
                <w:rFonts w:ascii="宋体" w:hAnsi="宋体"/>
                <w:b w:val="0"/>
                <w:bCs w:val="0"/>
                <w:color w:val="000000"/>
                <w:sz w:val="24"/>
                <w:szCs w:val="21"/>
              </w:rPr>
              <w:t>Hanovia</w:t>
            </w:r>
          </w:p>
          <w:p>
            <w:pPr>
              <w:widowControl w:val="0"/>
              <w:jc w:val="center"/>
              <w:rPr>
                <w:rFonts w:ascii="宋体" w:hAnsi="宋体"/>
                <w:color w:val="000000"/>
                <w:sz w:val="24"/>
                <w:szCs w:val="21"/>
              </w:rPr>
            </w:pPr>
            <w:r>
              <w:rPr>
                <w:rFonts w:ascii="宋体" w:hAnsi="宋体"/>
                <w:color w:val="000000"/>
                <w:sz w:val="24"/>
                <w:szCs w:val="21"/>
              </w:rPr>
              <w:t>LIGHT</w:t>
            </w:r>
            <w:r>
              <w:rPr>
                <w:rFonts w:hint="eastAsia" w:ascii="宋体" w:hAnsi="宋体"/>
                <w:color w:val="000000"/>
                <w:sz w:val="24"/>
                <w:szCs w:val="21"/>
              </w:rPr>
              <w:t xml:space="preserve"> </w:t>
            </w:r>
            <w:r>
              <w:rPr>
                <w:rFonts w:ascii="宋体" w:hAnsi="宋体"/>
                <w:color w:val="000000"/>
                <w:sz w:val="24"/>
                <w:szCs w:val="21"/>
              </w:rPr>
              <w:t>SOURCES</w:t>
            </w:r>
          </w:p>
          <w:p>
            <w:pPr>
              <w:pStyle w:val="3"/>
              <w:shd w:val="clear" w:color="auto" w:fill="FFFFFF"/>
              <w:spacing w:before="0" w:after="0" w:line="315" w:lineRule="atLeast"/>
              <w:jc w:val="center"/>
              <w:rPr>
                <w:rFonts w:ascii="宋体" w:hAnsi="宋体"/>
                <w:b w:val="0"/>
                <w:bCs w:val="0"/>
                <w:color w:val="000000"/>
                <w:sz w:val="24"/>
                <w:szCs w:val="21"/>
              </w:rPr>
            </w:pPr>
            <w:r>
              <w:rPr>
                <w:rFonts w:ascii="宋体" w:hAnsi="宋体"/>
                <w:b w:val="0"/>
                <w:bCs w:val="0"/>
                <w:color w:val="000000"/>
                <w:sz w:val="24"/>
                <w:szCs w:val="21"/>
              </w:rPr>
              <w:t>AQUAFINE</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软化树脂</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罐</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1年</w:t>
            </w:r>
          </w:p>
        </w:tc>
        <w:tc>
          <w:tcPr>
            <w:tcW w:w="2153"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8</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紫外线灯管29W</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1年</w:t>
            </w:r>
          </w:p>
        </w:tc>
        <w:tc>
          <w:tcPr>
            <w:tcW w:w="2153"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9</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生化树脂</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包</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按水质</w:t>
            </w:r>
          </w:p>
        </w:tc>
        <w:tc>
          <w:tcPr>
            <w:tcW w:w="2153"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10</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管道消毒</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次</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3-6个</w:t>
            </w:r>
          </w:p>
        </w:tc>
        <w:tc>
          <w:tcPr>
            <w:tcW w:w="2153"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11</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纯水供水管道</w:t>
            </w:r>
          </w:p>
        </w:tc>
        <w:tc>
          <w:tcPr>
            <w:tcW w:w="115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套</w:t>
            </w:r>
          </w:p>
        </w:tc>
        <w:tc>
          <w:tcPr>
            <w:tcW w:w="117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4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检修</w:t>
            </w:r>
          </w:p>
        </w:tc>
        <w:tc>
          <w:tcPr>
            <w:tcW w:w="2153"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3.口腔水机</w:t>
      </w:r>
    </w:p>
    <w:tbl>
      <w:tblPr>
        <w:tblStyle w:val="14"/>
        <w:tblW w:w="9456" w:type="dxa"/>
        <w:tblInd w:w="-10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2721"/>
        <w:gridCol w:w="1138"/>
        <w:gridCol w:w="1185"/>
        <w:gridCol w:w="1500"/>
        <w:gridCol w:w="216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rPr>
        <w:tc>
          <w:tcPr>
            <w:tcW w:w="7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序号</w:t>
            </w:r>
          </w:p>
        </w:tc>
        <w:tc>
          <w:tcPr>
            <w:tcW w:w="27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耗品名称、及规格</w:t>
            </w:r>
          </w:p>
        </w:tc>
        <w:tc>
          <w:tcPr>
            <w:tcW w:w="1138"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单位</w:t>
            </w:r>
          </w:p>
        </w:tc>
        <w:tc>
          <w:tcPr>
            <w:tcW w:w="1185"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数量</w:t>
            </w:r>
          </w:p>
        </w:tc>
        <w:tc>
          <w:tcPr>
            <w:tcW w:w="1500"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正常更换</w:t>
            </w:r>
          </w:p>
        </w:tc>
        <w:tc>
          <w:tcPr>
            <w:tcW w:w="2162"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lang w:eastAsia="zh-CN"/>
                <w14:textFill>
                  <w14:solidFill>
                    <w14:schemeClr w14:val="tx1"/>
                  </w14:solidFill>
                </w14:textFill>
              </w:rPr>
              <w:t>推荐品牌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20"10μm精密滤芯</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5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6个月</w:t>
            </w:r>
          </w:p>
        </w:tc>
        <w:tc>
          <w:tcPr>
            <w:tcW w:w="2162" w:type="dxa"/>
            <w:vAlign w:val="top"/>
          </w:tcPr>
          <w:p>
            <w:pPr>
              <w:widowControl w:val="0"/>
              <w:jc w:val="center"/>
              <w:rPr>
                <w:rFonts w:ascii="宋体" w:hAnsi="宋体"/>
                <w:color w:val="000000"/>
                <w:sz w:val="24"/>
                <w:szCs w:val="21"/>
              </w:rPr>
            </w:pPr>
            <w:r>
              <w:rPr>
                <w:rFonts w:hint="eastAsia" w:ascii="宋体" w:hAnsi="宋体"/>
                <w:color w:val="000000"/>
                <w:sz w:val="24"/>
                <w:szCs w:val="21"/>
              </w:rPr>
              <w:t>航滤</w:t>
            </w:r>
          </w:p>
          <w:p>
            <w:pPr>
              <w:widowControl w:val="0"/>
              <w:jc w:val="center"/>
              <w:rPr>
                <w:rFonts w:ascii="宋体" w:hAnsi="宋体"/>
                <w:color w:val="000000"/>
                <w:sz w:val="24"/>
                <w:szCs w:val="21"/>
              </w:rPr>
            </w:pPr>
            <w:r>
              <w:rPr>
                <w:rFonts w:ascii="宋体" w:hAnsi="宋体"/>
                <w:color w:val="000000"/>
                <w:sz w:val="24"/>
                <w:szCs w:val="21"/>
              </w:rPr>
              <w:t>Y</w:t>
            </w:r>
            <w:r>
              <w:rPr>
                <w:rFonts w:hint="eastAsia" w:ascii="宋体" w:hAnsi="宋体"/>
                <w:color w:val="000000"/>
                <w:sz w:val="24"/>
                <w:szCs w:val="21"/>
              </w:rPr>
              <w:t>onseng</w:t>
            </w:r>
          </w:p>
          <w:p>
            <w:pPr>
              <w:widowControl w:val="0"/>
              <w:jc w:val="center"/>
              <w:rPr>
                <w:rFonts w:ascii="宋体" w:hAnsi="宋体"/>
                <w:color w:val="000000"/>
                <w:sz w:val="24"/>
                <w:szCs w:val="21"/>
              </w:rPr>
            </w:pPr>
            <w:r>
              <w:rPr>
                <w:rFonts w:hint="eastAsia" w:ascii="宋体" w:hAnsi="宋体"/>
                <w:color w:val="000000"/>
                <w:sz w:val="24"/>
                <w:szCs w:val="21"/>
              </w:rPr>
              <w:t>洁源</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20"活性炭滤芯</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6个月</w:t>
            </w:r>
          </w:p>
        </w:tc>
        <w:tc>
          <w:tcPr>
            <w:tcW w:w="2162" w:type="dxa"/>
            <w:vAlign w:val="top"/>
          </w:tcPr>
          <w:p>
            <w:pPr>
              <w:widowControl w:val="0"/>
              <w:jc w:val="center"/>
              <w:rPr>
                <w:rFonts w:ascii="宋体" w:hAnsi="宋体"/>
                <w:color w:val="000000"/>
                <w:sz w:val="24"/>
                <w:szCs w:val="21"/>
              </w:rPr>
            </w:pPr>
            <w:r>
              <w:rPr>
                <w:rFonts w:hint="eastAsia" w:ascii="宋体" w:hAnsi="宋体"/>
                <w:color w:val="000000"/>
                <w:sz w:val="24"/>
                <w:szCs w:val="21"/>
              </w:rPr>
              <w:t>航滤</w:t>
            </w:r>
          </w:p>
          <w:p>
            <w:pPr>
              <w:widowControl w:val="0"/>
              <w:jc w:val="center"/>
              <w:rPr>
                <w:rFonts w:ascii="宋体" w:hAnsi="宋体"/>
                <w:color w:val="000000"/>
                <w:sz w:val="24"/>
                <w:szCs w:val="21"/>
              </w:rPr>
            </w:pPr>
            <w:r>
              <w:rPr>
                <w:rFonts w:ascii="宋体" w:hAnsi="宋体"/>
                <w:color w:val="000000"/>
                <w:sz w:val="24"/>
                <w:szCs w:val="21"/>
              </w:rPr>
              <w:t>Y</w:t>
            </w:r>
            <w:r>
              <w:rPr>
                <w:rFonts w:hint="eastAsia" w:ascii="宋体" w:hAnsi="宋体"/>
                <w:color w:val="000000"/>
                <w:sz w:val="24"/>
                <w:szCs w:val="21"/>
              </w:rPr>
              <w:t>onseng</w:t>
            </w:r>
          </w:p>
          <w:p>
            <w:pPr>
              <w:widowControl w:val="0"/>
              <w:jc w:val="center"/>
              <w:rPr>
                <w:rFonts w:ascii="宋体" w:hAnsi="宋体"/>
                <w:color w:val="000000"/>
                <w:sz w:val="24"/>
                <w:szCs w:val="21"/>
              </w:rPr>
            </w:pPr>
            <w:r>
              <w:rPr>
                <w:rFonts w:hint="eastAsia" w:ascii="宋体" w:hAnsi="宋体"/>
                <w:color w:val="000000"/>
                <w:sz w:val="24"/>
                <w:szCs w:val="21"/>
              </w:rPr>
              <w:t>洁源</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美国进口反渗膜4040</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2年</w:t>
            </w:r>
          </w:p>
        </w:tc>
        <w:tc>
          <w:tcPr>
            <w:tcW w:w="2162" w:type="dxa"/>
            <w:vAlign w:val="top"/>
          </w:tcPr>
          <w:p>
            <w:pPr>
              <w:widowControl w:val="0"/>
              <w:jc w:val="center"/>
              <w:rPr>
                <w:rFonts w:ascii="宋体" w:hAnsi="宋体"/>
                <w:color w:val="000000"/>
                <w:sz w:val="24"/>
                <w:szCs w:val="21"/>
              </w:rPr>
            </w:pPr>
            <w:r>
              <w:rPr>
                <w:rFonts w:ascii="宋体" w:hAnsi="宋体"/>
                <w:color w:val="000000"/>
                <w:sz w:val="24"/>
                <w:szCs w:val="21"/>
              </w:rPr>
              <w:t>陶氏</w:t>
            </w:r>
          </w:p>
          <w:p>
            <w:pPr>
              <w:widowControl w:val="0"/>
              <w:jc w:val="center"/>
              <w:rPr>
                <w:rFonts w:ascii="宋体" w:hAnsi="宋体"/>
                <w:color w:val="000000"/>
                <w:sz w:val="24"/>
                <w:szCs w:val="21"/>
              </w:rPr>
            </w:pPr>
            <w:r>
              <w:rPr>
                <w:rFonts w:hint="eastAsia" w:ascii="宋体" w:hAnsi="宋体"/>
                <w:color w:val="000000"/>
                <w:sz w:val="24"/>
                <w:szCs w:val="21"/>
              </w:rPr>
              <w:t>海德能</w:t>
            </w:r>
          </w:p>
          <w:p>
            <w:pPr>
              <w:widowControl w:val="0"/>
              <w:jc w:val="center"/>
              <w:rPr>
                <w:rFonts w:hint="eastAsia" w:ascii="宋体" w:hAnsi="宋体" w:eastAsia="宋体" w:cs="Times New Roman"/>
                <w:color w:val="000000"/>
                <w:kern w:val="2"/>
                <w:sz w:val="24"/>
                <w:szCs w:val="21"/>
                <w:lang w:val="en-US" w:eastAsia="zh-CN" w:bidi="ar-SA"/>
              </w:rPr>
            </w:pPr>
            <w:r>
              <w:rPr>
                <w:rFonts w:hint="eastAsia" w:ascii="宋体" w:hAnsi="宋体"/>
                <w:color w:val="000000"/>
                <w:sz w:val="24"/>
                <w:szCs w:val="21"/>
              </w:rPr>
              <w:t>GE</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20"0.1μm内毒素滤芯</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12个月</w:t>
            </w:r>
          </w:p>
        </w:tc>
        <w:tc>
          <w:tcPr>
            <w:tcW w:w="2162" w:type="dxa"/>
            <w:vAlign w:val="top"/>
          </w:tcPr>
          <w:p>
            <w:pPr>
              <w:widowControl w:val="0"/>
              <w:jc w:val="center"/>
              <w:rPr>
                <w:rFonts w:ascii="宋体" w:hAnsi="宋体"/>
                <w:color w:val="000000"/>
                <w:sz w:val="24"/>
                <w:szCs w:val="21"/>
              </w:rPr>
            </w:pPr>
            <w:r>
              <w:rPr>
                <w:rFonts w:hint="eastAsia" w:ascii="宋体" w:hAnsi="宋体"/>
                <w:color w:val="000000"/>
                <w:sz w:val="24"/>
                <w:szCs w:val="21"/>
              </w:rPr>
              <w:t>航滤</w:t>
            </w:r>
          </w:p>
          <w:p>
            <w:pPr>
              <w:widowControl w:val="0"/>
              <w:jc w:val="center"/>
              <w:rPr>
                <w:rFonts w:ascii="宋体" w:hAnsi="宋体"/>
                <w:color w:val="000000"/>
                <w:sz w:val="24"/>
                <w:szCs w:val="21"/>
              </w:rPr>
            </w:pPr>
            <w:r>
              <w:rPr>
                <w:rFonts w:ascii="宋体" w:hAnsi="宋体"/>
                <w:color w:val="000000"/>
                <w:sz w:val="24"/>
                <w:szCs w:val="21"/>
              </w:rPr>
              <w:t>Y</w:t>
            </w:r>
            <w:r>
              <w:rPr>
                <w:rFonts w:hint="eastAsia" w:ascii="宋体" w:hAnsi="宋体"/>
                <w:color w:val="000000"/>
                <w:sz w:val="24"/>
                <w:szCs w:val="21"/>
              </w:rPr>
              <w:t>onseng</w:t>
            </w:r>
          </w:p>
          <w:p>
            <w:pPr>
              <w:widowControl w:val="0"/>
              <w:jc w:val="center"/>
              <w:rPr>
                <w:rFonts w:ascii="宋体" w:hAnsi="宋体"/>
                <w:color w:val="000000"/>
                <w:sz w:val="24"/>
                <w:szCs w:val="21"/>
              </w:rPr>
            </w:pPr>
            <w:r>
              <w:rPr>
                <w:rFonts w:hint="eastAsia" w:ascii="宋体" w:hAnsi="宋体"/>
                <w:color w:val="000000"/>
                <w:sz w:val="24"/>
                <w:szCs w:val="21"/>
              </w:rPr>
              <w:t>洁源</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5</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紫外线灯管29W</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支</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15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1年</w:t>
            </w:r>
          </w:p>
        </w:tc>
        <w:tc>
          <w:tcPr>
            <w:tcW w:w="2162" w:type="dxa"/>
            <w:vAlign w:val="top"/>
          </w:tcPr>
          <w:p>
            <w:pPr>
              <w:pStyle w:val="3"/>
              <w:shd w:val="clear" w:color="auto" w:fill="FFFFFF"/>
              <w:spacing w:before="0" w:after="0" w:line="315" w:lineRule="atLeast"/>
              <w:jc w:val="center"/>
              <w:rPr>
                <w:rFonts w:ascii="宋体" w:hAnsi="宋体"/>
                <w:b w:val="0"/>
                <w:bCs w:val="0"/>
                <w:color w:val="000000"/>
                <w:sz w:val="24"/>
                <w:szCs w:val="21"/>
              </w:rPr>
            </w:pPr>
            <w:r>
              <w:rPr>
                <w:rFonts w:ascii="宋体" w:hAnsi="宋体"/>
                <w:b w:val="0"/>
                <w:bCs w:val="0"/>
                <w:color w:val="000000"/>
                <w:sz w:val="24"/>
                <w:szCs w:val="21"/>
              </w:rPr>
              <w:t>Hanovia</w:t>
            </w:r>
          </w:p>
          <w:p>
            <w:pPr>
              <w:widowControl w:val="0"/>
              <w:jc w:val="center"/>
              <w:rPr>
                <w:rFonts w:ascii="宋体" w:hAnsi="宋体"/>
                <w:color w:val="000000"/>
                <w:sz w:val="24"/>
                <w:szCs w:val="21"/>
              </w:rPr>
            </w:pPr>
            <w:r>
              <w:rPr>
                <w:rFonts w:ascii="宋体" w:hAnsi="宋体"/>
                <w:color w:val="000000"/>
                <w:sz w:val="24"/>
                <w:szCs w:val="21"/>
              </w:rPr>
              <w:t>LIGHT</w:t>
            </w:r>
            <w:r>
              <w:rPr>
                <w:rFonts w:hint="eastAsia" w:ascii="宋体" w:hAnsi="宋体"/>
                <w:color w:val="000000"/>
                <w:sz w:val="24"/>
                <w:szCs w:val="21"/>
              </w:rPr>
              <w:t xml:space="preserve"> </w:t>
            </w:r>
            <w:r>
              <w:rPr>
                <w:rFonts w:ascii="宋体" w:hAnsi="宋体"/>
                <w:color w:val="000000"/>
                <w:sz w:val="24"/>
                <w:szCs w:val="21"/>
              </w:rPr>
              <w:t>SOURCES</w:t>
            </w:r>
          </w:p>
          <w:p>
            <w:pPr>
              <w:pStyle w:val="3"/>
              <w:shd w:val="clear" w:color="auto" w:fill="FFFFFF"/>
              <w:spacing w:before="0" w:after="0" w:line="315" w:lineRule="atLeast"/>
              <w:jc w:val="center"/>
              <w:rPr>
                <w:rFonts w:ascii="宋体" w:hAnsi="宋体"/>
                <w:b w:val="0"/>
                <w:bCs w:val="0"/>
                <w:color w:val="000000"/>
                <w:sz w:val="24"/>
                <w:szCs w:val="21"/>
              </w:rPr>
            </w:pPr>
            <w:r>
              <w:rPr>
                <w:rFonts w:ascii="宋体" w:hAnsi="宋体"/>
                <w:b w:val="0"/>
                <w:bCs w:val="0"/>
                <w:color w:val="000000"/>
                <w:sz w:val="24"/>
                <w:szCs w:val="21"/>
              </w:rPr>
              <w:t>AQUAFINE</w:t>
            </w:r>
          </w:p>
          <w:p>
            <w:pPr>
              <w:widowControl w:val="0"/>
              <w:jc w:val="center"/>
              <w:rPr>
                <w:rFonts w:hint="eastAsia" w:ascii="宋体" w:hAnsi="宋体" w:eastAsia="宋体" w:cs="Times New Roman"/>
                <w:color w:val="000000"/>
                <w:kern w:val="2"/>
                <w:sz w:val="24"/>
                <w:szCs w:val="21"/>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6</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管道消毒</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次</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3-6个月</w:t>
            </w:r>
          </w:p>
        </w:tc>
        <w:tc>
          <w:tcPr>
            <w:tcW w:w="2162"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7</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纯水供水管道</w:t>
            </w:r>
          </w:p>
        </w:tc>
        <w:tc>
          <w:tcPr>
            <w:tcW w:w="1138"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套</w:t>
            </w:r>
          </w:p>
        </w:tc>
        <w:tc>
          <w:tcPr>
            <w:tcW w:w="118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检修</w:t>
            </w:r>
          </w:p>
        </w:tc>
        <w:tc>
          <w:tcPr>
            <w:tcW w:w="2162"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4.内镜中心</w:t>
      </w:r>
    </w:p>
    <w:tbl>
      <w:tblPr>
        <w:tblStyle w:val="14"/>
        <w:tblW w:w="9469" w:type="dxa"/>
        <w:tblInd w:w="-10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2721"/>
        <w:gridCol w:w="1123"/>
        <w:gridCol w:w="1200"/>
        <w:gridCol w:w="1515"/>
        <w:gridCol w:w="21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91" w:hRule="atLeast"/>
        </w:trPr>
        <w:tc>
          <w:tcPr>
            <w:tcW w:w="75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序号</w:t>
            </w:r>
          </w:p>
        </w:tc>
        <w:tc>
          <w:tcPr>
            <w:tcW w:w="2721"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型号</w:t>
            </w:r>
          </w:p>
        </w:tc>
        <w:tc>
          <w:tcPr>
            <w:tcW w:w="1123"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单位</w:t>
            </w:r>
          </w:p>
        </w:tc>
        <w:tc>
          <w:tcPr>
            <w:tcW w:w="1200" w:type="dxa"/>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数量</w:t>
            </w:r>
          </w:p>
        </w:tc>
        <w:tc>
          <w:tcPr>
            <w:tcW w:w="1515"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正常更换</w:t>
            </w:r>
          </w:p>
        </w:tc>
        <w:tc>
          <w:tcPr>
            <w:tcW w:w="2160"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lang w:eastAsia="zh-CN"/>
                <w14:textFill>
                  <w14:solidFill>
                    <w14:schemeClr w14:val="tx1"/>
                  </w14:solidFill>
                </w14:textFill>
              </w:rPr>
              <w:t>推荐品牌</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MERO-100A-W</w:t>
            </w:r>
          </w:p>
        </w:tc>
        <w:tc>
          <w:tcPr>
            <w:tcW w:w="112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套</w:t>
            </w:r>
          </w:p>
        </w:tc>
        <w:tc>
          <w:tcPr>
            <w:tcW w:w="12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1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1-12个月</w:t>
            </w:r>
          </w:p>
        </w:tc>
        <w:tc>
          <w:tcPr>
            <w:tcW w:w="2160"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olor w:val="000000" w:themeColor="text1"/>
                <w:sz w:val="24"/>
                <w:szCs w:val="24"/>
                <w:lang w:eastAsia="zh-CN"/>
                <w14:textFill>
                  <w14:solidFill>
                    <w14:schemeClr w14:val="tx1"/>
                  </w14:solidFill>
                </w14:textFill>
              </w:rPr>
              <w:t>国标</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2</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管道消毒</w:t>
            </w:r>
          </w:p>
        </w:tc>
        <w:tc>
          <w:tcPr>
            <w:tcW w:w="112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次</w:t>
            </w:r>
          </w:p>
        </w:tc>
        <w:tc>
          <w:tcPr>
            <w:tcW w:w="12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1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3-6个月</w:t>
            </w:r>
          </w:p>
        </w:tc>
        <w:tc>
          <w:tcPr>
            <w:tcW w:w="2160"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75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3</w:t>
            </w:r>
          </w:p>
        </w:tc>
        <w:tc>
          <w:tcPr>
            <w:tcW w:w="2721" w:type="dxa"/>
          </w:tcPr>
          <w:p>
            <w:pPr>
              <w:keepNext w:val="0"/>
              <w:keepLines w:val="0"/>
              <w:pageBreakBefore w:val="0"/>
              <w:kinsoku/>
              <w:wordWrap/>
              <w:overflowPunct/>
              <w:topLinePunct w:val="0"/>
              <w:autoSpaceDE/>
              <w:autoSpaceDN/>
              <w:bidi w:val="0"/>
              <w:adjustRightInd/>
              <w:snapToGrid/>
              <w:spacing w:line="360" w:lineRule="auto"/>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纯水供水管道</w:t>
            </w:r>
          </w:p>
        </w:tc>
        <w:tc>
          <w:tcPr>
            <w:tcW w:w="1123"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套</w:t>
            </w:r>
          </w:p>
        </w:tc>
        <w:tc>
          <w:tcPr>
            <w:tcW w:w="1200"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1</w:t>
            </w:r>
          </w:p>
        </w:tc>
        <w:tc>
          <w:tcPr>
            <w:tcW w:w="1515" w:type="dxa"/>
          </w:tcPr>
          <w:p>
            <w:pPr>
              <w:keepNext w:val="0"/>
              <w:keepLines w:val="0"/>
              <w:pageBreakBefore w:val="0"/>
              <w:kinsoku/>
              <w:wordWrap/>
              <w:overflowPunct/>
              <w:topLinePunct w:val="0"/>
              <w:autoSpaceDE/>
              <w:autoSpaceDN/>
              <w:bidi w:val="0"/>
              <w:adjustRightInd/>
              <w:snapToGrid/>
              <w:spacing w:line="360" w:lineRule="auto"/>
              <w:jc w:val="center"/>
              <w:rPr>
                <w:rFonts w:asciiTheme="majorEastAsia" w:hAnsiTheme="majorEastAsia" w:eastAsiaTheme="majorEastAsia"/>
                <w:color w:val="000000" w:themeColor="text1"/>
                <w:sz w:val="24"/>
                <w:szCs w:val="24"/>
                <w14:textFill>
                  <w14:solidFill>
                    <w14:schemeClr w14:val="tx1"/>
                  </w14:solidFill>
                </w14:textFill>
              </w:rPr>
            </w:pPr>
            <w:r>
              <w:rPr>
                <w:rFonts w:hint="eastAsia" w:asciiTheme="majorEastAsia" w:hAnsiTheme="majorEastAsia" w:eastAsiaTheme="majorEastAsia"/>
                <w:color w:val="000000" w:themeColor="text1"/>
                <w:sz w:val="24"/>
                <w:szCs w:val="24"/>
                <w14:textFill>
                  <w14:solidFill>
                    <w14:schemeClr w14:val="tx1"/>
                  </w14:solidFill>
                </w14:textFill>
              </w:rPr>
              <w:t>检修</w:t>
            </w:r>
          </w:p>
        </w:tc>
        <w:tc>
          <w:tcPr>
            <w:tcW w:w="2160"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Theme="majorEastAsia" w:hAnsiTheme="majorEastAsia" w:eastAsiaTheme="majorEastAsia"/>
                <w:color w:val="000000" w:themeColor="text1"/>
                <w:sz w:val="24"/>
                <w:szCs w:val="24"/>
                <w14:textFill>
                  <w14:solidFill>
                    <w14:schemeClr w14:val="tx1"/>
                  </w14:solidFill>
                </w14:textFill>
              </w:rPr>
            </w:pPr>
          </w:p>
        </w:tc>
      </w:tr>
    </w:tbl>
    <w:p>
      <w:pPr>
        <w:pStyle w:val="6"/>
        <w:spacing w:line="360" w:lineRule="auto"/>
        <w:rPr>
          <w:rFonts w:ascii="宋体" w:hAnsi="宋体"/>
          <w:b/>
          <w:color w:val="000000" w:themeColor="text1"/>
          <w:sz w:val="24"/>
          <w:lang w:val="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四</w:t>
      </w:r>
      <w:r>
        <w:rPr>
          <w:rFonts w:hint="eastAsia" w:ascii="宋体" w:hAnsi="宋体"/>
          <w:b/>
          <w:color w:val="000000" w:themeColor="text1"/>
          <w:sz w:val="24"/>
          <w:lang w:val="zh-CN"/>
          <w14:textFill>
            <w14:solidFill>
              <w14:schemeClr w14:val="tx1"/>
            </w14:solidFill>
          </w14:textFill>
        </w:rPr>
        <w:t>、</w:t>
      </w:r>
      <w:r>
        <w:rPr>
          <w:rFonts w:ascii="宋体" w:hAnsi="宋体"/>
          <w:b/>
          <w:color w:val="000000" w:themeColor="text1"/>
          <w:sz w:val="24"/>
          <w:lang w:val="zh-CN"/>
          <w14:textFill>
            <w14:solidFill>
              <w14:schemeClr w14:val="tx1"/>
            </w14:solidFill>
          </w14:textFill>
        </w:rPr>
        <w:t>考核标准</w:t>
      </w:r>
    </w:p>
    <w:p>
      <w:pPr>
        <w:spacing w:line="360" w:lineRule="auto"/>
        <w:ind w:firstLine="480" w:firstLineChars="200"/>
        <w:rPr>
          <w:rFonts w:ascii="宋体" w:hAnsi="宋体" w:cs="Courier New"/>
          <w:sz w:val="24"/>
          <w:szCs w:val="24"/>
        </w:rPr>
      </w:pPr>
      <w:r>
        <w:rPr>
          <w:rFonts w:ascii="宋体" w:hAnsi="宋体" w:cs="Courier New"/>
          <w:color w:val="000000" w:themeColor="text1"/>
          <w:sz w:val="24"/>
          <w:szCs w:val="24"/>
          <w14:textFill>
            <w14:solidFill>
              <w14:schemeClr w14:val="tx1"/>
            </w14:solidFill>
          </w14:textFill>
        </w:rPr>
        <w:t>医院方每季度根据</w:t>
      </w:r>
      <w:r>
        <w:rPr>
          <w:rFonts w:hint="eastAsia" w:ascii="宋体" w:hAnsi="宋体" w:cs="Courier New"/>
          <w:color w:val="000000" w:themeColor="text1"/>
          <w:sz w:val="24"/>
          <w:szCs w:val="24"/>
          <w14:textFill>
            <w14:solidFill>
              <w14:schemeClr w14:val="tx1"/>
            </w14:solidFill>
          </w14:textFill>
        </w:rPr>
        <w:t>附件</w:t>
      </w:r>
      <w:r>
        <w:rPr>
          <w:rFonts w:ascii="宋体" w:hAnsi="宋体" w:cs="Courier New"/>
          <w:color w:val="000000" w:themeColor="text1"/>
          <w:sz w:val="24"/>
          <w:szCs w:val="24"/>
          <w14:textFill>
            <w14:solidFill>
              <w14:schemeClr w14:val="tx1"/>
            </w14:solidFill>
          </w14:textFill>
        </w:rPr>
        <w:t>考核标准对乙方进行考</w:t>
      </w:r>
      <w:r>
        <w:rPr>
          <w:rFonts w:ascii="宋体" w:hAnsi="宋体" w:cs="Courier New"/>
          <w:sz w:val="24"/>
          <w:szCs w:val="24"/>
        </w:rPr>
        <w:t>核。考核分达到90分以上(含90分)为合格。如考核得分90分以下每少1分</w:t>
      </w:r>
      <w:r>
        <w:rPr>
          <w:rFonts w:hint="eastAsia" w:ascii="宋体" w:hAnsi="宋体" w:cs="Courier New"/>
          <w:sz w:val="24"/>
          <w:szCs w:val="24"/>
        </w:rPr>
        <w:t>罚</w:t>
      </w:r>
      <w:r>
        <w:rPr>
          <w:rFonts w:ascii="宋体" w:hAnsi="宋体" w:cs="Courier New"/>
          <w:sz w:val="24"/>
          <w:szCs w:val="24"/>
        </w:rPr>
        <w:t>人民币100元，中标方次季度提交</w:t>
      </w:r>
      <w:r>
        <w:rPr>
          <w:rFonts w:hint="eastAsia" w:ascii="宋体" w:hAnsi="宋体" w:cs="Courier New"/>
          <w:sz w:val="24"/>
          <w:szCs w:val="24"/>
        </w:rPr>
        <w:t>罚</w:t>
      </w:r>
      <w:r>
        <w:rPr>
          <w:rFonts w:ascii="宋体" w:hAnsi="宋体" w:cs="Courier New"/>
          <w:sz w:val="24"/>
          <w:szCs w:val="24"/>
        </w:rPr>
        <w:t>款的金额。合同期内如该考核项目连续两个季度考核得分低于85分或一个外包年度内共计有三个季度考核得分低于85分，医院方有权提前终止合同,并追究中标方违约责任。</w:t>
      </w:r>
    </w:p>
    <w:p>
      <w:pPr>
        <w:spacing w:line="360" w:lineRule="auto"/>
        <w:ind w:firstLine="480" w:firstLineChars="200"/>
        <w:rPr>
          <w:rFonts w:ascii="宋体" w:hAnsi="宋体" w:cs="Courier New"/>
          <w:sz w:val="24"/>
          <w:szCs w:val="24"/>
        </w:rPr>
      </w:pPr>
      <w:r>
        <w:rPr>
          <w:rFonts w:ascii="宋体" w:hAnsi="宋体" w:cs="Courier New"/>
          <w:sz w:val="24"/>
          <w:szCs w:val="24"/>
        </w:rPr>
        <w:t>考核条款如下：</w:t>
      </w:r>
    </w:p>
    <w:p>
      <w:pPr>
        <w:tabs>
          <w:tab w:val="left" w:pos="0"/>
        </w:tabs>
        <w:spacing w:line="300" w:lineRule="exact"/>
        <w:ind w:right="-153"/>
        <w:jc w:val="center"/>
        <w:rPr>
          <w:rFonts w:hint="eastAsia" w:ascii="方正小标宋_GBK" w:hAnsi="Helvetica" w:eastAsia="方正小标宋_GBK" w:cs="Helvetica"/>
          <w:b/>
          <w:sz w:val="24"/>
          <w:lang w:eastAsia="zh-CN"/>
        </w:rPr>
      </w:pPr>
      <w:r>
        <w:rPr>
          <w:rFonts w:hint="eastAsia" w:ascii="方正小标宋_GBK" w:hAnsi="Helvetica" w:eastAsia="方正小标宋_GBK" w:cs="Helvetica"/>
          <w:b/>
          <w:sz w:val="24"/>
          <w:lang w:eastAsia="zh-CN"/>
        </w:rPr>
        <w:t>义乌市妇幼保健院</w:t>
      </w:r>
    </w:p>
    <w:p>
      <w:pPr>
        <w:tabs>
          <w:tab w:val="left" w:pos="0"/>
        </w:tabs>
        <w:spacing w:line="300" w:lineRule="exact"/>
        <w:ind w:right="-153"/>
        <w:jc w:val="center"/>
        <w:rPr>
          <w:rFonts w:ascii="方正小标宋_GBK" w:hAnsi="Helvetica" w:eastAsia="方正小标宋_GBK" w:cs="Helvetica"/>
          <w:b/>
          <w:sz w:val="24"/>
        </w:rPr>
      </w:pPr>
      <w:r>
        <w:rPr>
          <w:rFonts w:hint="eastAsia" w:ascii="方正小标宋_GBK" w:hAnsi="Helvetica" w:eastAsia="方正小标宋_GBK" w:cs="Helvetica"/>
          <w:b/>
          <w:sz w:val="24"/>
        </w:rPr>
        <w:t>纯水</w:t>
      </w:r>
      <w:r>
        <w:rPr>
          <w:rFonts w:hint="eastAsia" w:ascii="方正小标宋_GBK" w:hAnsi="Helvetica" w:eastAsia="方正小标宋_GBK" w:cs="Helvetica"/>
          <w:b/>
          <w:sz w:val="24"/>
          <w:lang w:eastAsia="zh-CN"/>
        </w:rPr>
        <w:t>系统</w:t>
      </w:r>
      <w:bookmarkStart w:id="2" w:name="_GoBack"/>
      <w:bookmarkEnd w:id="2"/>
      <w:r>
        <w:rPr>
          <w:rFonts w:hint="eastAsia" w:ascii="方正小标宋_GBK" w:hAnsi="Helvetica" w:eastAsia="方正小标宋_GBK" w:cs="Helvetica"/>
          <w:b/>
          <w:sz w:val="24"/>
        </w:rPr>
        <w:t>维护保养季度考核表</w:t>
      </w:r>
    </w:p>
    <w:tbl>
      <w:tblPr>
        <w:tblStyle w:val="14"/>
        <w:tblW w:w="9640" w:type="dxa"/>
        <w:jc w:val="center"/>
        <w:tblLayout w:type="autofit"/>
        <w:tblCellMar>
          <w:top w:w="0" w:type="dxa"/>
          <w:left w:w="108" w:type="dxa"/>
          <w:bottom w:w="0" w:type="dxa"/>
          <w:right w:w="108" w:type="dxa"/>
        </w:tblCellMar>
      </w:tblPr>
      <w:tblGrid>
        <w:gridCol w:w="872"/>
        <w:gridCol w:w="1246"/>
        <w:gridCol w:w="2413"/>
        <w:gridCol w:w="859"/>
        <w:gridCol w:w="2045"/>
        <w:gridCol w:w="1139"/>
        <w:gridCol w:w="1066"/>
      </w:tblGrid>
      <w:tr>
        <w:tblPrEx>
          <w:tblCellMar>
            <w:top w:w="0" w:type="dxa"/>
            <w:left w:w="108" w:type="dxa"/>
            <w:bottom w:w="0" w:type="dxa"/>
            <w:right w:w="108" w:type="dxa"/>
          </w:tblCellMar>
        </w:tblPrEx>
        <w:trPr>
          <w:trHeight w:val="270"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序号</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量化项目</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考核指标</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权重</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评分标准</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得分</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r>
              <w:rPr>
                <w:rFonts w:ascii="宋体" w:hAnsi="宋体"/>
                <w:kern w:val="0"/>
                <w:sz w:val="22"/>
                <w:szCs w:val="22"/>
              </w:rPr>
              <w:t>质量</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保养方案、质量</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由业主工程师判断打分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40"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保养及时性</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根据故障</w:t>
            </w:r>
            <w:r>
              <w:rPr>
                <w:rFonts w:hint="eastAsia" w:ascii="宋体" w:hAnsi="宋体"/>
                <w:kern w:val="0"/>
                <w:sz w:val="22"/>
                <w:szCs w:val="22"/>
              </w:rPr>
              <w:t>优先级处理标准</w:t>
            </w:r>
            <w:r>
              <w:rPr>
                <w:rFonts w:ascii="宋体" w:hAnsi="宋体"/>
                <w:kern w:val="0"/>
                <w:sz w:val="22"/>
                <w:szCs w:val="22"/>
              </w:rPr>
              <w:t>要求，超过时限</w:t>
            </w:r>
            <w:r>
              <w:rPr>
                <w:rFonts w:hint="eastAsia" w:ascii="宋体" w:hAnsi="宋体"/>
                <w:kern w:val="0"/>
                <w:sz w:val="22"/>
                <w:szCs w:val="22"/>
              </w:rPr>
              <w:t>一次</w:t>
            </w:r>
            <w:r>
              <w:rPr>
                <w:rFonts w:ascii="宋体" w:hAnsi="宋体"/>
                <w:kern w:val="0"/>
                <w:sz w:val="22"/>
                <w:szCs w:val="22"/>
              </w:rPr>
              <w:t>减5分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1131"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p>
          <w:p>
            <w:pPr>
              <w:widowControl/>
              <w:jc w:val="center"/>
              <w:rPr>
                <w:rFonts w:ascii="宋体" w:hAnsi="宋体"/>
                <w:kern w:val="0"/>
                <w:sz w:val="22"/>
                <w:szCs w:val="22"/>
              </w:rPr>
            </w:pPr>
            <w:r>
              <w:rPr>
                <w:rFonts w:hint="eastAsia" w:ascii="宋体" w:hAnsi="宋体"/>
                <w:kern w:val="0"/>
                <w:sz w:val="22"/>
                <w:szCs w:val="22"/>
              </w:rPr>
              <w:t>完成</w:t>
            </w:r>
            <w:r>
              <w:rPr>
                <w:rFonts w:ascii="宋体" w:hAnsi="宋体"/>
                <w:kern w:val="0"/>
                <w:sz w:val="22"/>
                <w:szCs w:val="22"/>
              </w:rPr>
              <w:t>度</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按</w:t>
            </w:r>
            <w:r>
              <w:rPr>
                <w:rFonts w:ascii="宋体" w:hAnsi="宋体"/>
                <w:kern w:val="0"/>
                <w:sz w:val="22"/>
                <w:szCs w:val="22"/>
              </w:rPr>
              <w:t>维保周期计划对设备进行检查，维护，保养</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未按</w:t>
            </w:r>
            <w:r>
              <w:rPr>
                <w:rFonts w:ascii="宋体" w:hAnsi="宋体"/>
                <w:kern w:val="0"/>
                <w:sz w:val="22"/>
                <w:szCs w:val="22"/>
              </w:rPr>
              <w:t>周期检查，维护</w:t>
            </w:r>
            <w:r>
              <w:rPr>
                <w:rFonts w:hint="eastAsia" w:ascii="宋体" w:hAnsi="宋体"/>
                <w:kern w:val="0"/>
                <w:sz w:val="22"/>
                <w:szCs w:val="22"/>
              </w:rPr>
              <w:t>，</w:t>
            </w:r>
            <w:r>
              <w:rPr>
                <w:rFonts w:ascii="宋体" w:hAnsi="宋体"/>
                <w:kern w:val="0"/>
                <w:sz w:val="22"/>
                <w:szCs w:val="22"/>
              </w:rPr>
              <w:t>保养</w:t>
            </w:r>
            <w:r>
              <w:rPr>
                <w:rFonts w:hint="eastAsia" w:ascii="宋体" w:hAnsi="宋体"/>
                <w:kern w:val="0"/>
                <w:sz w:val="22"/>
                <w:szCs w:val="22"/>
              </w:rPr>
              <w:t>每</w:t>
            </w:r>
            <w:r>
              <w:rPr>
                <w:rFonts w:ascii="宋体" w:hAnsi="宋体"/>
                <w:kern w:val="0"/>
                <w:sz w:val="22"/>
                <w:szCs w:val="22"/>
              </w:rPr>
              <w:t>出现一次扣</w:t>
            </w:r>
            <w:r>
              <w:rPr>
                <w:rFonts w:hint="eastAsia" w:ascii="宋体" w:hAnsi="宋体"/>
                <w:kern w:val="0"/>
                <w:sz w:val="22"/>
                <w:szCs w:val="22"/>
              </w:rPr>
              <w:t>5分；</w:t>
            </w:r>
            <w:r>
              <w:rPr>
                <w:rFonts w:ascii="宋体" w:hAnsi="宋体"/>
                <w:kern w:val="0"/>
                <w:sz w:val="22"/>
                <w:szCs w:val="22"/>
              </w:rPr>
              <w:t>出现长期无法解决的问题，减10分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文档管理</w:t>
            </w:r>
          </w:p>
        </w:tc>
        <w:tc>
          <w:tcPr>
            <w:tcW w:w="241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文档完整性、正确性</w:t>
            </w:r>
          </w:p>
        </w:tc>
        <w:tc>
          <w:tcPr>
            <w:tcW w:w="859"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按月检查</w:t>
            </w:r>
            <w:r>
              <w:rPr>
                <w:rFonts w:hint="eastAsia" w:ascii="宋体" w:hAnsi="宋体"/>
                <w:kern w:val="0"/>
                <w:sz w:val="22"/>
                <w:szCs w:val="22"/>
              </w:rPr>
              <w:t>维护保养</w:t>
            </w:r>
            <w:r>
              <w:rPr>
                <w:rFonts w:ascii="宋体" w:hAnsi="宋体"/>
                <w:kern w:val="0"/>
                <w:sz w:val="22"/>
                <w:szCs w:val="22"/>
              </w:rPr>
              <w:t>文档，文档不完整或错误各减5分</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312"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859" w:type="dxa"/>
            <w:vMerge w:val="continue"/>
            <w:tcBorders>
              <w:top w:val="nil"/>
              <w:left w:val="single" w:color="auto" w:sz="4" w:space="0"/>
              <w:bottom w:val="single" w:color="auto" w:sz="4" w:space="0"/>
              <w:right w:val="nil"/>
            </w:tcBorders>
            <w:vAlign w:val="center"/>
          </w:tcPr>
          <w:p>
            <w:pPr>
              <w:widowControl/>
              <w:jc w:val="left"/>
              <w:rPr>
                <w:rFonts w:ascii="宋体" w:hAnsi="宋体"/>
                <w:kern w:val="0"/>
                <w:sz w:val="22"/>
                <w:szCs w:val="22"/>
              </w:rPr>
            </w:pPr>
          </w:p>
        </w:tc>
        <w:tc>
          <w:tcPr>
            <w:tcW w:w="3184"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sz w:val="22"/>
                <w:szCs w:val="22"/>
              </w:rPr>
            </w:pPr>
          </w:p>
        </w:tc>
        <w:tc>
          <w:tcPr>
            <w:tcW w:w="10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9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4</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团队协作</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维保人员与院内相处融洽，对工作积极不推诿</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10</w:t>
            </w:r>
          </w:p>
        </w:tc>
        <w:tc>
          <w:tcPr>
            <w:tcW w:w="3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团结协作良好，工作不相互推诿，否则有其中任何一项，扣5分；</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285" w:hRule="atLeast"/>
          <w:jc w:val="center"/>
        </w:trPr>
        <w:tc>
          <w:tcPr>
            <w:tcW w:w="96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量化考核得分（合格：&gt;=90分）</w:t>
            </w:r>
          </w:p>
        </w:tc>
      </w:tr>
      <w:tr>
        <w:tblPrEx>
          <w:tblCellMar>
            <w:top w:w="0" w:type="dxa"/>
            <w:left w:w="108" w:type="dxa"/>
            <w:bottom w:w="0" w:type="dxa"/>
            <w:right w:w="108" w:type="dxa"/>
          </w:tblCellMar>
        </w:tblPrEx>
        <w:trPr>
          <w:trHeight w:val="312" w:hRule="atLeast"/>
          <w:jc w:val="center"/>
        </w:trPr>
        <w:tc>
          <w:tcPr>
            <w:tcW w:w="2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考核周期</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考核表</w:t>
            </w:r>
            <w:r>
              <w:rPr>
                <w:rFonts w:hint="eastAsia" w:ascii="宋体" w:hAnsi="宋体"/>
                <w:kern w:val="0"/>
                <w:sz w:val="22"/>
                <w:szCs w:val="22"/>
              </w:rPr>
              <w:t>每季</w:t>
            </w:r>
            <w:r>
              <w:rPr>
                <w:rFonts w:ascii="宋体" w:hAnsi="宋体"/>
                <w:kern w:val="0"/>
                <w:sz w:val="22"/>
                <w:szCs w:val="22"/>
              </w:rPr>
              <w:t>填写一份，年度考核按</w:t>
            </w:r>
            <w:r>
              <w:rPr>
                <w:rFonts w:hint="eastAsia" w:ascii="宋体" w:hAnsi="宋体"/>
                <w:kern w:val="0"/>
                <w:sz w:val="22"/>
                <w:szCs w:val="22"/>
              </w:rPr>
              <w:t>季</w:t>
            </w:r>
            <w:r>
              <w:rPr>
                <w:rFonts w:ascii="宋体" w:hAnsi="宋体"/>
                <w:kern w:val="0"/>
                <w:sz w:val="22"/>
                <w:szCs w:val="22"/>
              </w:rPr>
              <w:t>平均分计算。</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35" w:hRule="atLeast"/>
          <w:jc w:val="center"/>
        </w:trPr>
        <w:tc>
          <w:tcPr>
            <w:tcW w:w="211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考核说明</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在对维保服务人员进行考核时，将考虑到导致指标无效的不同情况，避免一刀切影响绩效考核的公正性；如果在考核期内遇到不可抗性力因素导致系统服务或者网络无法运行而影响正常办公，将不计入考核表</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被考核人</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考核人</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审核人签字</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日期</w:t>
            </w:r>
          </w:p>
        </w:tc>
        <w:tc>
          <w:tcPr>
            <w:tcW w:w="124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日期</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审核日期</w:t>
            </w:r>
          </w:p>
        </w:tc>
        <w:tc>
          <w:tcPr>
            <w:tcW w:w="2205"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r>
    </w:tbl>
    <w:p>
      <w:pPr>
        <w:pStyle w:val="6"/>
        <w:spacing w:line="360" w:lineRule="auto"/>
        <w:rPr>
          <w:rFonts w:ascii="仿宋" w:hAnsi="仿宋" w:eastAsia="仿宋"/>
          <w:b/>
          <w:color w:val="FF0000"/>
          <w:sz w:val="24"/>
          <w:szCs w:val="24"/>
        </w:rPr>
      </w:pPr>
    </w:p>
    <w:p>
      <w:pPr>
        <w:spacing w:line="360" w:lineRule="auto"/>
        <w:rPr>
          <w:rFonts w:ascii="宋体" w:hAnsi="宋体"/>
          <w:b/>
          <w:kern w:val="0"/>
          <w:sz w:val="24"/>
          <w:szCs w:val="24"/>
        </w:rPr>
      </w:pPr>
      <w:r>
        <w:rPr>
          <w:rFonts w:hint="eastAsia" w:ascii="宋体" w:hAnsi="宋体"/>
          <w:b/>
          <w:bCs/>
          <w:sz w:val="24"/>
          <w:szCs w:val="24"/>
          <w:lang w:val="en-US" w:eastAsia="zh-CN"/>
        </w:rPr>
        <w:t>五</w:t>
      </w:r>
      <w:r>
        <w:rPr>
          <w:rFonts w:ascii="宋体" w:hAnsi="宋体"/>
          <w:b/>
          <w:bCs/>
          <w:sz w:val="24"/>
          <w:szCs w:val="24"/>
        </w:rPr>
        <w:t>、</w:t>
      </w:r>
      <w:r>
        <w:rPr>
          <w:rFonts w:hint="eastAsia" w:ascii="宋体" w:hAnsi="宋体"/>
          <w:b/>
          <w:bCs/>
          <w:sz w:val="24"/>
          <w:szCs w:val="24"/>
        </w:rPr>
        <w:t>合同</w:t>
      </w:r>
      <w:r>
        <w:rPr>
          <w:rFonts w:ascii="宋体" w:hAnsi="宋体"/>
          <w:b/>
          <w:bCs/>
          <w:sz w:val="24"/>
          <w:szCs w:val="24"/>
        </w:rPr>
        <w:t>期限</w:t>
      </w:r>
    </w:p>
    <w:p>
      <w:pPr>
        <w:pStyle w:val="6"/>
        <w:spacing w:line="360" w:lineRule="auto"/>
        <w:ind w:firstLine="480" w:firstLineChars="200"/>
        <w:rPr>
          <w:rFonts w:hAnsi="宋体"/>
          <w:sz w:val="24"/>
          <w:szCs w:val="24"/>
        </w:rPr>
      </w:pPr>
      <w:r>
        <w:rPr>
          <w:rFonts w:hint="eastAsia" w:hAnsi="宋体"/>
          <w:sz w:val="24"/>
          <w:szCs w:val="24"/>
        </w:rPr>
        <w:t>1</w:t>
      </w:r>
      <w:r>
        <w:rPr>
          <w:rFonts w:hAnsi="宋体"/>
          <w:sz w:val="24"/>
          <w:szCs w:val="24"/>
        </w:rPr>
        <w:t>.合同期限</w:t>
      </w:r>
      <w:r>
        <w:rPr>
          <w:rFonts w:hint="eastAsia" w:hAnsi="宋体"/>
          <w:sz w:val="24"/>
          <w:szCs w:val="24"/>
        </w:rPr>
        <w:t>_</w:t>
      </w:r>
      <w:r>
        <w:rPr>
          <w:rFonts w:hAnsi="宋体"/>
          <w:sz w:val="24"/>
          <w:szCs w:val="24"/>
        </w:rPr>
        <w:t>_壹__年</w:t>
      </w:r>
      <w:r>
        <w:rPr>
          <w:rFonts w:hint="eastAsia" w:hAnsi="宋体"/>
          <w:sz w:val="24"/>
          <w:szCs w:val="24"/>
        </w:rPr>
        <w:t>，</w:t>
      </w:r>
      <w:r>
        <w:rPr>
          <w:rFonts w:hAnsi="宋体"/>
          <w:sz w:val="24"/>
          <w:szCs w:val="24"/>
        </w:rPr>
        <w:t>合同到期后视</w:t>
      </w:r>
      <w:r>
        <w:rPr>
          <w:rFonts w:hint="eastAsia" w:hAnsi="宋体"/>
          <w:sz w:val="24"/>
          <w:szCs w:val="24"/>
        </w:rPr>
        <w:t>考核</w:t>
      </w:r>
      <w:r>
        <w:rPr>
          <w:rFonts w:hAnsi="宋体"/>
          <w:sz w:val="24"/>
          <w:szCs w:val="24"/>
        </w:rPr>
        <w:t>情况可考虑续签</w:t>
      </w:r>
      <w:r>
        <w:rPr>
          <w:rFonts w:hint="eastAsia" w:hAnsi="宋体"/>
          <w:sz w:val="24"/>
          <w:szCs w:val="24"/>
        </w:rPr>
        <w:t>。甲方可与在每季度考核分数在</w:t>
      </w:r>
      <w:r>
        <w:rPr>
          <w:rFonts w:hAnsi="宋体"/>
          <w:sz w:val="24"/>
          <w:szCs w:val="24"/>
        </w:rPr>
        <w:t>90</w:t>
      </w:r>
      <w:r>
        <w:rPr>
          <w:rFonts w:hint="eastAsia" w:hAnsi="宋体"/>
          <w:sz w:val="24"/>
          <w:szCs w:val="24"/>
        </w:rPr>
        <w:t>分以上（包括</w:t>
      </w:r>
      <w:r>
        <w:rPr>
          <w:rFonts w:hAnsi="宋体"/>
          <w:sz w:val="24"/>
          <w:szCs w:val="24"/>
        </w:rPr>
        <w:t>90</w:t>
      </w:r>
      <w:r>
        <w:rPr>
          <w:rFonts w:hint="eastAsia" w:hAnsi="宋体"/>
          <w:sz w:val="24"/>
          <w:szCs w:val="24"/>
        </w:rPr>
        <w:t>分）的乙方续签合同。如续签，则最多续签</w:t>
      </w:r>
      <w:r>
        <w:rPr>
          <w:rFonts w:hint="eastAsia" w:hAnsi="宋体"/>
          <w:sz w:val="24"/>
          <w:szCs w:val="24"/>
          <w:lang w:val="en-US" w:eastAsia="zh-CN"/>
        </w:rPr>
        <w:t>1</w:t>
      </w:r>
      <w:r>
        <w:rPr>
          <w:rFonts w:hint="eastAsia" w:hAnsi="宋体"/>
          <w:sz w:val="24"/>
          <w:szCs w:val="24"/>
        </w:rPr>
        <w:t>次且每次续签合同期限为1年，全部合同累计时间最长</w:t>
      </w:r>
      <w:r>
        <w:rPr>
          <w:rFonts w:hint="eastAsia" w:hAnsi="宋体"/>
          <w:sz w:val="24"/>
          <w:szCs w:val="24"/>
          <w:lang w:val="en-US" w:eastAsia="zh-CN"/>
        </w:rPr>
        <w:t>2</w:t>
      </w:r>
      <w:r>
        <w:rPr>
          <w:rFonts w:hint="eastAsia" w:hAnsi="宋体"/>
          <w:sz w:val="24"/>
          <w:szCs w:val="24"/>
        </w:rPr>
        <w:t>年。</w:t>
      </w:r>
    </w:p>
    <w:p>
      <w:pPr>
        <w:pStyle w:val="6"/>
        <w:spacing w:line="360" w:lineRule="auto"/>
        <w:rPr>
          <w:rFonts w:hAnsi="宋体"/>
          <w:b/>
          <w:sz w:val="24"/>
          <w:szCs w:val="24"/>
          <w:highlight w:val="yellow"/>
        </w:rPr>
      </w:pPr>
      <w:r>
        <w:rPr>
          <w:rFonts w:hint="eastAsia" w:hAnsi="宋体"/>
          <w:b/>
          <w:sz w:val="24"/>
          <w:szCs w:val="24"/>
          <w:lang w:val="en-US" w:eastAsia="zh-CN"/>
        </w:rPr>
        <w:t>六</w:t>
      </w:r>
      <w:r>
        <w:rPr>
          <w:rFonts w:hAnsi="宋体"/>
          <w:b/>
          <w:sz w:val="24"/>
          <w:szCs w:val="24"/>
        </w:rPr>
        <w:t>、</w:t>
      </w:r>
      <w:r>
        <w:rPr>
          <w:rFonts w:hint="eastAsia" w:hAnsi="宋体"/>
          <w:b/>
          <w:sz w:val="24"/>
          <w:szCs w:val="24"/>
        </w:rPr>
        <w:t>支付</w:t>
      </w:r>
      <w:r>
        <w:rPr>
          <w:rFonts w:hAnsi="宋体"/>
          <w:b/>
          <w:sz w:val="24"/>
          <w:szCs w:val="24"/>
        </w:rPr>
        <w:t>方式</w:t>
      </w:r>
    </w:p>
    <w:p>
      <w:pPr>
        <w:pStyle w:val="6"/>
        <w:spacing w:line="360" w:lineRule="auto"/>
        <w:ind w:firstLine="480" w:firstLineChars="200"/>
        <w:rPr>
          <w:rFonts w:hAnsi="宋体"/>
          <w:color w:val="FF0000"/>
          <w:sz w:val="24"/>
          <w:szCs w:val="24"/>
        </w:rPr>
      </w:pPr>
      <w:r>
        <w:rPr>
          <w:rFonts w:hint="eastAsia" w:hAnsi="宋体"/>
          <w:color w:val="FF0000"/>
          <w:sz w:val="24"/>
          <w:szCs w:val="24"/>
        </w:rPr>
        <w:t>1．本合同签订后</w:t>
      </w:r>
      <w:r>
        <w:rPr>
          <w:rFonts w:hint="eastAsia" w:hAnsi="宋体"/>
          <w:color w:val="FF0000"/>
          <w:sz w:val="24"/>
          <w:szCs w:val="24"/>
          <w:lang w:eastAsia="zh-CN"/>
        </w:rPr>
        <w:t>六个月</w:t>
      </w:r>
      <w:r>
        <w:rPr>
          <w:rFonts w:hint="eastAsia" w:hAnsi="宋体"/>
          <w:color w:val="FF0000"/>
          <w:sz w:val="24"/>
          <w:szCs w:val="24"/>
        </w:rPr>
        <w:t>甲方向乙方预付年度合同价的</w:t>
      </w:r>
      <w:r>
        <w:rPr>
          <w:rFonts w:hint="eastAsia" w:hAnsi="宋体"/>
          <w:color w:val="FF0000"/>
          <w:sz w:val="24"/>
          <w:szCs w:val="24"/>
          <w:lang w:val="en-US" w:eastAsia="zh-CN"/>
        </w:rPr>
        <w:t>5</w:t>
      </w:r>
      <w:r>
        <w:rPr>
          <w:rFonts w:hint="eastAsia" w:hAnsi="宋体"/>
          <w:color w:val="FF0000"/>
          <w:sz w:val="24"/>
          <w:szCs w:val="24"/>
        </w:rPr>
        <w:t>0%；</w:t>
      </w:r>
    </w:p>
    <w:p>
      <w:pPr>
        <w:pStyle w:val="6"/>
        <w:spacing w:line="360" w:lineRule="auto"/>
        <w:ind w:firstLine="480" w:firstLineChars="200"/>
        <w:rPr>
          <w:rFonts w:hAnsi="宋体"/>
          <w:color w:val="FF0000"/>
          <w:sz w:val="24"/>
          <w:szCs w:val="24"/>
        </w:rPr>
      </w:pPr>
      <w:r>
        <w:rPr>
          <w:rFonts w:hint="eastAsia" w:hAnsi="宋体"/>
          <w:color w:val="FF0000"/>
          <w:sz w:val="24"/>
          <w:szCs w:val="24"/>
        </w:rPr>
        <w:t>2．维保服务期到后且双方无其他争议的，期满后1个月内，乙方凭具有检测资质的第三方机构出具合格的检测报告，结清年度合同余款，检测验收费用由乙方承担。</w:t>
      </w:r>
    </w:p>
    <w:p>
      <w:pPr>
        <w:pStyle w:val="6"/>
        <w:spacing w:line="360" w:lineRule="auto"/>
        <w:ind w:firstLine="480" w:firstLineChars="200"/>
        <w:rPr>
          <w:rFonts w:hint="eastAsia" w:hAnsi="宋体"/>
          <w:color w:val="FF0000"/>
          <w:sz w:val="24"/>
          <w:szCs w:val="24"/>
          <w:lang w:val="en-US" w:eastAsia="zh-CN"/>
        </w:rPr>
      </w:pPr>
      <w:r>
        <w:rPr>
          <w:rFonts w:hAnsi="宋体"/>
          <w:color w:val="FF0000"/>
          <w:sz w:val="24"/>
          <w:szCs w:val="24"/>
        </w:rPr>
        <w:t>3</w:t>
      </w:r>
      <w:r>
        <w:rPr>
          <w:rFonts w:hint="eastAsia" w:hAnsi="宋体"/>
          <w:color w:val="FF0000"/>
          <w:sz w:val="24"/>
          <w:szCs w:val="24"/>
        </w:rPr>
        <w:t>．</w:t>
      </w:r>
      <w:r>
        <w:rPr>
          <w:rFonts w:hint="eastAsia" w:hAnsi="宋体"/>
          <w:color w:val="FF0000"/>
          <w:sz w:val="24"/>
          <w:szCs w:val="24"/>
          <w:lang w:eastAsia="zh-CN"/>
        </w:rPr>
        <w:t>除</w:t>
      </w:r>
      <w:r>
        <w:rPr>
          <w:rFonts w:hint="eastAsia" w:asciiTheme="majorEastAsia" w:hAnsiTheme="majorEastAsia" w:eastAsiaTheme="majorEastAsia"/>
          <w:color w:val="FF0000"/>
          <w:sz w:val="24"/>
          <w:szCs w:val="24"/>
        </w:rPr>
        <w:t>日常维保人工</w:t>
      </w:r>
      <w:r>
        <w:rPr>
          <w:rFonts w:hint="eastAsia" w:asciiTheme="majorEastAsia" w:hAnsiTheme="majorEastAsia" w:eastAsiaTheme="majorEastAsia"/>
          <w:color w:val="FF0000"/>
          <w:sz w:val="24"/>
          <w:szCs w:val="24"/>
          <w:lang w:eastAsia="zh-CN"/>
        </w:rPr>
        <w:t>、</w:t>
      </w:r>
      <w:r>
        <w:rPr>
          <w:rFonts w:hint="eastAsia" w:asciiTheme="majorEastAsia" w:hAnsiTheme="majorEastAsia" w:eastAsiaTheme="majorEastAsia"/>
          <w:color w:val="FF0000"/>
          <w:sz w:val="24"/>
          <w:szCs w:val="24"/>
        </w:rPr>
        <w:t>定期耗材、200元以下低值配件</w:t>
      </w:r>
      <w:r>
        <w:rPr>
          <w:rFonts w:hint="eastAsia" w:hAnsi="宋体"/>
          <w:color w:val="FF0000"/>
          <w:sz w:val="24"/>
          <w:szCs w:val="24"/>
        </w:rPr>
        <w:t>的各种维修主材费、零部件费用、配件按月经甲方签证确认后支付。</w:t>
      </w:r>
      <w:r>
        <w:rPr>
          <w:rFonts w:hint="eastAsia" w:hAnsi="宋体"/>
          <w:color w:val="FF0000"/>
          <w:sz w:val="24"/>
          <w:szCs w:val="24"/>
          <w:lang w:val="en-US" w:eastAsia="zh-CN"/>
        </w:rPr>
        <w:t xml:space="preserve"> </w:t>
      </w:r>
    </w:p>
    <w:p>
      <w:pPr>
        <w:pStyle w:val="6"/>
        <w:spacing w:line="360" w:lineRule="auto"/>
        <w:ind w:firstLine="480" w:firstLineChars="200"/>
        <w:rPr>
          <w:rFonts w:hAnsi="宋体"/>
          <w:sz w:val="24"/>
          <w:szCs w:val="24"/>
        </w:rPr>
      </w:pPr>
      <w:r>
        <w:rPr>
          <w:rFonts w:hAnsi="宋体"/>
          <w:sz w:val="24"/>
          <w:szCs w:val="24"/>
        </w:rPr>
        <w:t>4</w:t>
      </w:r>
      <w:r>
        <w:rPr>
          <w:rFonts w:hint="eastAsia" w:hAnsi="宋体"/>
          <w:sz w:val="24"/>
          <w:szCs w:val="24"/>
        </w:rPr>
        <w:t>．所有货款及服务费凭乙方开具的正规发票按实结算。</w:t>
      </w:r>
    </w:p>
    <w:p>
      <w:pPr>
        <w:pStyle w:val="6"/>
        <w:spacing w:line="360" w:lineRule="auto"/>
        <w:rPr>
          <w:rFonts w:hAnsi="宋体"/>
          <w:b/>
          <w:sz w:val="24"/>
          <w:szCs w:val="24"/>
        </w:rPr>
      </w:pPr>
      <w:r>
        <w:rPr>
          <w:rFonts w:hint="eastAsia" w:hAnsi="宋体"/>
          <w:b/>
          <w:sz w:val="24"/>
          <w:szCs w:val="24"/>
          <w:lang w:val="en-US" w:eastAsia="zh-CN"/>
        </w:rPr>
        <w:t>七</w:t>
      </w:r>
      <w:r>
        <w:rPr>
          <w:rFonts w:hAnsi="宋体"/>
          <w:b/>
          <w:sz w:val="24"/>
          <w:szCs w:val="24"/>
        </w:rPr>
        <w:t>、</w:t>
      </w:r>
      <w:r>
        <w:rPr>
          <w:rFonts w:hint="eastAsia" w:hAnsi="宋体"/>
          <w:b/>
          <w:sz w:val="24"/>
          <w:szCs w:val="24"/>
        </w:rPr>
        <w:t>其他</w:t>
      </w:r>
    </w:p>
    <w:p>
      <w:pPr>
        <w:spacing w:line="360" w:lineRule="auto"/>
        <w:ind w:firstLine="480" w:firstLineChars="200"/>
        <w:rPr>
          <w:rFonts w:ascii="宋体" w:hAnsi="宋体"/>
          <w:sz w:val="24"/>
          <w:szCs w:val="24"/>
        </w:rPr>
      </w:pPr>
      <w:r>
        <w:rPr>
          <w:rFonts w:hint="eastAsia" w:ascii="宋体" w:hAnsi="宋体"/>
          <w:sz w:val="24"/>
          <w:szCs w:val="24"/>
        </w:rPr>
        <w:t>1．中标人不得转包、分包。</w:t>
      </w:r>
    </w:p>
    <w:p>
      <w:pPr>
        <w:spacing w:line="360" w:lineRule="auto"/>
        <w:ind w:left="479" w:leftChars="228"/>
        <w:rPr>
          <w:rFonts w:ascii="宋体" w:hAnsi="宋体"/>
          <w:sz w:val="24"/>
          <w:szCs w:val="24"/>
        </w:rPr>
      </w:pPr>
      <w:r>
        <w:rPr>
          <w:rFonts w:hint="eastAsia" w:ascii="宋体" w:hAnsi="宋体"/>
          <w:sz w:val="24"/>
          <w:szCs w:val="24"/>
        </w:rPr>
        <w:t>2．</w:t>
      </w:r>
      <w:r>
        <w:rPr>
          <w:rFonts w:ascii="宋体" w:hAnsi="宋体"/>
          <w:sz w:val="24"/>
          <w:szCs w:val="24"/>
        </w:rPr>
        <w:t>投标方在投标前可以自行到现场进行实地踏勘，招标单位不另行组织现场勘察会。</w:t>
      </w:r>
    </w:p>
    <w:p>
      <w:pPr>
        <w:spacing w:line="360" w:lineRule="auto"/>
        <w:ind w:firstLine="480"/>
        <w:rPr>
          <w:rFonts w:ascii="宋体" w:hAnsi="宋体"/>
          <w:sz w:val="24"/>
          <w:szCs w:val="24"/>
        </w:rPr>
      </w:pPr>
      <w:r>
        <w:rPr>
          <w:rFonts w:hint="eastAsia" w:ascii="宋体" w:hAnsi="宋体"/>
          <w:sz w:val="24"/>
          <w:szCs w:val="24"/>
        </w:rPr>
        <w:t>3．</w:t>
      </w:r>
      <w:r>
        <w:rPr>
          <w:rFonts w:ascii="宋体" w:hAnsi="宋体"/>
          <w:sz w:val="24"/>
          <w:szCs w:val="24"/>
        </w:rPr>
        <w:t>投标单位报价时应以人民币为计算单位，报价总金额到元为止。报价中的管理费、利润、税费等其他费用由各参标单位自行考虑。本次招投标相关资料文件概不退还。</w:t>
      </w:r>
    </w:p>
    <w:p>
      <w:pPr>
        <w:widowControl/>
        <w:spacing w:line="360" w:lineRule="auto"/>
        <w:ind w:left="-424" w:leftChars="-202" w:right="-624" w:rightChars="-297" w:firstLine="480"/>
        <w:jc w:val="left"/>
        <w:rPr>
          <w:b/>
          <w:color w:val="FF0000"/>
          <w:kern w:val="0"/>
          <w:szCs w:val="21"/>
        </w:rPr>
      </w:pPr>
    </w:p>
    <w:p>
      <w:pPr>
        <w:widowControl/>
        <w:spacing w:line="360" w:lineRule="auto"/>
        <w:ind w:left="-424" w:leftChars="-202" w:right="-624" w:rightChars="-297" w:firstLine="480"/>
        <w:jc w:val="left"/>
        <w:rPr>
          <w:b/>
          <w:color w:val="FF0000"/>
          <w:kern w:val="0"/>
          <w:szCs w:val="21"/>
        </w:rPr>
      </w:pPr>
    </w:p>
    <w:p>
      <w:pPr>
        <w:widowControl/>
        <w:spacing w:line="360" w:lineRule="auto"/>
        <w:ind w:left="-424" w:leftChars="-202" w:right="-624" w:rightChars="-297" w:firstLine="480"/>
        <w:jc w:val="left"/>
        <w:rPr>
          <w:b/>
          <w:color w:val="FF0000"/>
          <w:kern w:val="0"/>
          <w:szCs w:val="21"/>
        </w:rPr>
      </w:pPr>
    </w:p>
    <w:p>
      <w:pPr>
        <w:widowControl/>
        <w:spacing w:line="360" w:lineRule="auto"/>
        <w:ind w:left="-424" w:leftChars="-202" w:right="-624" w:rightChars="-297" w:firstLine="480"/>
        <w:jc w:val="left"/>
        <w:rPr>
          <w:b/>
          <w:color w:val="FF0000"/>
          <w:kern w:val="0"/>
          <w:szCs w:val="21"/>
        </w:rPr>
      </w:pPr>
    </w:p>
    <w:p>
      <w:pPr>
        <w:widowControl/>
        <w:spacing w:line="360" w:lineRule="auto"/>
        <w:ind w:left="-424" w:leftChars="-202" w:right="-624" w:rightChars="-297" w:firstLine="480"/>
        <w:jc w:val="left"/>
        <w:rPr>
          <w:b/>
          <w:color w:val="FF0000"/>
          <w:kern w:val="0"/>
          <w:szCs w:val="21"/>
        </w:rPr>
      </w:pPr>
    </w:p>
    <w:p>
      <w:pPr>
        <w:widowControl/>
        <w:spacing w:line="360" w:lineRule="auto"/>
        <w:ind w:left="-424" w:leftChars="-202" w:right="-624" w:rightChars="-297" w:firstLine="480"/>
        <w:jc w:val="left"/>
        <w:rPr>
          <w:b/>
          <w:color w:val="FF0000"/>
          <w:kern w:val="0"/>
          <w:szCs w:val="21"/>
        </w:rPr>
      </w:pPr>
    </w:p>
    <w:p>
      <w:pPr>
        <w:widowControl/>
        <w:spacing w:line="360" w:lineRule="auto"/>
        <w:ind w:left="-424" w:leftChars="-202" w:right="-624" w:rightChars="-297" w:firstLine="480"/>
        <w:jc w:val="left"/>
        <w:rPr>
          <w:b/>
          <w:color w:val="FF0000"/>
          <w:kern w:val="0"/>
          <w:szCs w:val="21"/>
        </w:rPr>
      </w:pPr>
    </w:p>
    <w:p>
      <w:pPr>
        <w:widowControl/>
        <w:spacing w:line="360" w:lineRule="auto"/>
        <w:ind w:left="-424" w:leftChars="-202" w:right="-624" w:rightChars="-297" w:firstLine="480"/>
        <w:jc w:val="left"/>
        <w:rPr>
          <w:b/>
          <w:color w:val="FF0000"/>
          <w:kern w:val="0"/>
          <w:szCs w:val="21"/>
        </w:rPr>
      </w:pPr>
    </w:p>
    <w:p>
      <w:pPr>
        <w:widowControl/>
        <w:spacing w:line="360" w:lineRule="auto"/>
        <w:ind w:right="-624" w:rightChars="-297"/>
        <w:jc w:val="left"/>
        <w:rPr>
          <w:kern w:val="0"/>
          <w:szCs w:val="21"/>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jc w:val="center"/>
        <w:rPr>
          <w:rFonts w:hint="eastAsia" w:asciiTheme="minorEastAsia" w:hAnsiTheme="minorEastAsia" w:eastAsiaTheme="minorEastAsia"/>
          <w:b/>
          <w:sz w:val="32"/>
          <w:szCs w:val="32"/>
        </w:rPr>
      </w:pPr>
    </w:p>
    <w:p>
      <w:pPr>
        <w:spacing w:line="360" w:lineRule="auto"/>
        <w:ind w:firstLine="2891" w:firstLineChars="9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第三章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二、投标文件的组成</w:t>
      </w:r>
    </w:p>
    <w:p>
      <w:pPr>
        <w:widowControl/>
        <w:spacing w:line="420" w:lineRule="atLeast"/>
        <w:ind w:firstLine="482" w:firstLineChars="200"/>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color w:val="FF0000"/>
          <w:kern w:val="0"/>
          <w:sz w:val="24"/>
          <w:szCs w:val="24"/>
        </w:rPr>
        <w:t>技术标（含资信与服务）不得含商务报价，否则作无效标处理。</w:t>
      </w:r>
    </w:p>
    <w:p>
      <w:pPr>
        <w:widowControl/>
        <w:numPr>
          <w:ilvl w:val="0"/>
          <w:numId w:val="3"/>
        </w:numPr>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技术标：</w:t>
      </w:r>
    </w:p>
    <w:p>
      <w:pPr>
        <w:pStyle w:val="6"/>
        <w:spacing w:line="46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应包括下列内容（包含但不仅限于以下）并应按顺序装订成册(复印件需加盖单位公章，提供的所有证书应在有效期内)</w:t>
      </w:r>
    </w:p>
    <w:p>
      <w:pPr>
        <w:pStyle w:val="26"/>
        <w:widowControl/>
        <w:numPr>
          <w:ilvl w:val="0"/>
          <w:numId w:val="4"/>
        </w:numPr>
        <w:spacing w:line="420" w:lineRule="atLeast"/>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营业执照副本（复印件加盖公章）；组织机构代码证副本（复印件加盖公章）、税务登记证副本（复印件加盖公章）</w:t>
      </w:r>
    </w:p>
    <w:p>
      <w:pPr>
        <w:widowControl/>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2）法人资格证明或法人代表授权书；</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）法定代表人或授权代表的身份证（复印件）；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）售后服务的及时性等保证措施。</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）对本次服务的具体方案，包括维保方案、服务团队、常驻联系人等；</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）产品质量保证措施、产品的质量保证承诺；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rPr>
        <w:t>）售前、售后服务内容和服务承诺。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w:t>
      </w:r>
      <w:r>
        <w:rPr>
          <w:rFonts w:hint="eastAsia" w:cs="宋体" w:asciiTheme="minorEastAsia" w:hAnsiTheme="minorEastAsia" w:eastAsiaTheme="minorEastAsia"/>
          <w:kern w:val="0"/>
          <w:sz w:val="24"/>
          <w:szCs w:val="24"/>
        </w:rPr>
        <w:t>）投标人能够给予招标人的其他优惠条件；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9</w:t>
      </w:r>
      <w:r>
        <w:rPr>
          <w:rFonts w:hint="eastAsia" w:cs="宋体" w:asciiTheme="minorEastAsia" w:hAnsiTheme="minorEastAsia" w:eastAsiaTheme="minorEastAsia"/>
          <w:kern w:val="0"/>
          <w:sz w:val="24"/>
          <w:szCs w:val="24"/>
        </w:rPr>
        <w:t>）其他投标人认为应该提交给招标人的资料（如业绩）；</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w:t>
      </w:r>
      <w:r>
        <w:rPr>
          <w:rFonts w:hint="eastAsia" w:cs="宋体" w:asciiTheme="minorEastAsia" w:hAnsiTheme="minorEastAsia" w:eastAsiaTheme="minorEastAsia"/>
          <w:kern w:val="0"/>
          <w:sz w:val="24"/>
          <w:szCs w:val="24"/>
        </w:rPr>
        <w:t>）各种能体现投标人实力的响应内容或有利于招标人的各种承诺等；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1）投标函（附件三）</w:t>
      </w:r>
    </w:p>
    <w:p>
      <w:pPr>
        <w:widowControl/>
        <w:spacing w:line="420" w:lineRule="atLeast"/>
        <w:ind w:firstLine="480"/>
        <w:rPr>
          <w:rFonts w:ascii="宋体" w:hAnsi="宋体" w:cs="宋体"/>
          <w:color w:val="FF0000"/>
          <w:kern w:val="0"/>
          <w:sz w:val="24"/>
          <w:szCs w:val="24"/>
        </w:rPr>
      </w:pPr>
      <w:r>
        <w:rPr>
          <w:rFonts w:hint="eastAsia" w:ascii="宋体" w:hAnsi="宋体" w:cs="宋体"/>
          <w:color w:val="FF0000"/>
          <w:kern w:val="0"/>
          <w:sz w:val="24"/>
          <w:szCs w:val="24"/>
        </w:rPr>
        <w:t>2）报价一览表（附件五）</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napToGrid w:val="0"/>
        <w:spacing w:line="420" w:lineRule="atLeast"/>
        <w:ind w:firstLine="468" w:firstLineChars="195"/>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6"/>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w:t>
      </w:r>
      <w:r>
        <w:rPr>
          <w:rFonts w:hint="eastAsia" w:ascii="宋体" w:hAnsi="宋体" w:cs="宋体"/>
          <w:color w:val="FF0000"/>
          <w:kern w:val="0"/>
          <w:sz w:val="24"/>
          <w:szCs w:val="24"/>
        </w:rPr>
        <w:t>投标文件须一式</w:t>
      </w:r>
      <w:r>
        <w:rPr>
          <w:rFonts w:ascii="宋体" w:hAnsi="宋体" w:cs="宋体"/>
          <w:color w:val="FF0000"/>
          <w:kern w:val="0"/>
          <w:sz w:val="24"/>
          <w:szCs w:val="24"/>
        </w:rPr>
        <w:t>2</w:t>
      </w:r>
      <w:r>
        <w:rPr>
          <w:rFonts w:hint="eastAsia" w:ascii="宋体" w:hAnsi="宋体" w:cs="宋体"/>
          <w:color w:val="FF0000"/>
          <w:kern w:val="0"/>
          <w:sz w:val="24"/>
          <w:szCs w:val="24"/>
        </w:rPr>
        <w:t>份（正本1份，副本</w:t>
      </w: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rPr>
        <w:t>份）</w:t>
      </w:r>
      <w:r>
        <w:rPr>
          <w:rFonts w:hint="eastAsia" w:ascii="宋体" w:hAnsi="宋体" w:cs="宋体"/>
          <w:kern w:val="0"/>
          <w:sz w:val="24"/>
          <w:szCs w:val="24"/>
        </w:rPr>
        <w:t>，分别加盖“正本”“副本”印章。正本与副本如有差别，以正本为准，责任由投标人自负。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color w:val="FF0000"/>
          <w:kern w:val="0"/>
          <w:sz w:val="24"/>
          <w:szCs w:val="24"/>
        </w:rPr>
        <w:t>技术标和商务标分开制作并单独密封包装</w:t>
      </w:r>
      <w:r>
        <w:rPr>
          <w:rFonts w:hint="eastAsia" w:ascii="宋体" w:hAnsi="宋体" w:cs="宋体"/>
          <w:b/>
          <w:bCs/>
          <w:kern w:val="0"/>
          <w:sz w:val="24"/>
          <w:szCs w:val="24"/>
        </w:rPr>
        <w:t>，全部投标文件应装入同一密封袋内，封口处应有投标人法定代表人或其授权代表签字并加盖投标单位公章；封面注明招标项目名称和编号，投标人的名称、地址、邮编、传真、联系电话、联系人。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rPr>
          <w:rFonts w:ascii="宋体" w:hAnsi="宋体" w:cs="宋体"/>
          <w:b/>
          <w:kern w:val="0"/>
          <w:sz w:val="24"/>
          <w:szCs w:val="24"/>
        </w:rPr>
      </w:pPr>
      <w:r>
        <w:rPr>
          <w:rFonts w:hint="eastAsia" w:ascii="宋体" w:hAnsi="宋体" w:cs="宋体"/>
          <w:b/>
          <w:kern w:val="0"/>
          <w:sz w:val="24"/>
          <w:szCs w:val="24"/>
        </w:rPr>
        <w:t xml:space="preserve">    五 、投标文件的送达时间 </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6、投标文件中提供伪造、虚假材料的。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7、投标单价及价格经评标小组认定明显不合理的。</w:t>
      </w:r>
    </w:p>
    <w:p>
      <w:pPr>
        <w:widowControl/>
        <w:spacing w:line="420" w:lineRule="atLeast"/>
        <w:ind w:firstLine="480"/>
        <w:rPr>
          <w:rFonts w:ascii="宋体" w:hAnsi="宋体"/>
          <w:sz w:val="24"/>
        </w:rPr>
      </w:pPr>
    </w:p>
    <w:p>
      <w:pPr>
        <w:spacing w:line="360" w:lineRule="auto"/>
        <w:jc w:val="center"/>
        <w:rPr>
          <w:rFonts w:ascii="宋体" w:hAnsi="宋体"/>
          <w:b/>
          <w:sz w:val="32"/>
          <w:szCs w:val="32"/>
        </w:rPr>
      </w:pPr>
      <w:r>
        <w:rPr>
          <w:rFonts w:hint="eastAsia" w:ascii="宋体" w:hAnsi="宋体"/>
          <w:b/>
          <w:sz w:val="32"/>
          <w:szCs w:val="32"/>
        </w:rPr>
        <w:t>第四章   评标办法</w:t>
      </w:r>
    </w:p>
    <w:p>
      <w:pPr>
        <w:adjustRightInd w:val="0"/>
        <w:snapToGrid w:val="0"/>
        <w:spacing w:line="360" w:lineRule="auto"/>
        <w:ind w:right="17" w:firstLine="480" w:firstLineChars="200"/>
        <w:rPr>
          <w:rFonts w:ascii="宋体" w:hAnsi="宋体"/>
          <w:sz w:val="24"/>
          <w:szCs w:val="24"/>
        </w:rPr>
      </w:pPr>
      <w:r>
        <w:rPr>
          <w:rFonts w:ascii="宋体" w:hAnsi="宋体"/>
          <w:sz w:val="24"/>
          <w:szCs w:val="24"/>
        </w:rPr>
        <w:t>根据《中华人民共和国政府采购法》和《中华人民共和国招标投标法》的有关规定，为更好地做到公开、公平、公正，结合本次招标的特点，特制定本评标办法。评标小组用</w:t>
      </w:r>
      <w:r>
        <w:rPr>
          <w:rFonts w:ascii="宋体" w:hAnsi="宋体"/>
          <w:color w:val="FF0000"/>
          <w:sz w:val="24"/>
          <w:szCs w:val="24"/>
        </w:rPr>
        <w:t>综合评分法</w:t>
      </w:r>
      <w:r>
        <w:rPr>
          <w:rFonts w:ascii="宋体" w:hAnsi="宋体"/>
          <w:sz w:val="24"/>
          <w:szCs w:val="24"/>
        </w:rPr>
        <w:t>对招标项目作出评标结论</w:t>
      </w:r>
      <w:r>
        <w:rPr>
          <w:rFonts w:hint="eastAsia" w:ascii="宋体" w:hAnsi="宋体"/>
          <w:sz w:val="24"/>
          <w:szCs w:val="24"/>
        </w:rPr>
        <w:t>。</w:t>
      </w:r>
    </w:p>
    <w:p>
      <w:pPr>
        <w:pStyle w:val="6"/>
        <w:spacing w:line="360" w:lineRule="auto"/>
        <w:rPr>
          <w:rFonts w:hAnsi="宋体"/>
          <w:b/>
          <w:bCs/>
          <w:sz w:val="24"/>
          <w:szCs w:val="24"/>
        </w:rPr>
      </w:pPr>
      <w:r>
        <w:rPr>
          <w:rFonts w:hint="eastAsia" w:hAnsi="宋体"/>
          <w:b/>
          <w:bCs/>
          <w:sz w:val="24"/>
          <w:szCs w:val="24"/>
        </w:rPr>
        <w:t>一</w:t>
      </w:r>
      <w:r>
        <w:rPr>
          <w:rFonts w:hAnsi="宋体"/>
          <w:b/>
          <w:bCs/>
          <w:sz w:val="24"/>
          <w:szCs w:val="24"/>
        </w:rPr>
        <w:t>、评审办法</w:t>
      </w:r>
    </w:p>
    <w:p>
      <w:pPr>
        <w:adjustRightInd w:val="0"/>
        <w:snapToGrid w:val="0"/>
        <w:spacing w:line="360" w:lineRule="auto"/>
        <w:ind w:firstLine="480" w:firstLineChars="200"/>
        <w:rPr>
          <w:rFonts w:ascii="宋体" w:hAnsi="宋体"/>
          <w:sz w:val="24"/>
          <w:szCs w:val="24"/>
        </w:rPr>
      </w:pPr>
      <w:r>
        <w:rPr>
          <w:rFonts w:ascii="宋体" w:hAnsi="宋体"/>
          <w:sz w:val="24"/>
          <w:szCs w:val="24"/>
        </w:rPr>
        <w:t>评标采用综合评分法，评标委员会从投标人的综合实力、信誉、业绩、售后服务、产品构成、技术性能、质量等方面进行评审。评标委员会根据评审情况，对各投标人的商务报价方面在分值范围内进行统一打分，对各投标人的资信商务方面在分值范围内进行统一打分，对各投标人的技术方面在分值范围内进行独立打分。</w:t>
      </w:r>
    </w:p>
    <w:p>
      <w:pPr>
        <w:adjustRightInd w:val="0"/>
        <w:snapToGrid w:val="0"/>
        <w:spacing w:line="360" w:lineRule="auto"/>
        <w:jc w:val="center"/>
        <w:rPr>
          <w:rFonts w:ascii="宋体" w:hAnsi="宋体"/>
          <w:b/>
          <w:sz w:val="24"/>
          <w:szCs w:val="24"/>
        </w:rPr>
      </w:pPr>
      <w:r>
        <w:rPr>
          <w:rFonts w:ascii="宋体" w:hAnsi="宋体"/>
          <w:b/>
          <w:sz w:val="24"/>
          <w:szCs w:val="24"/>
        </w:rPr>
        <w:t>每个投标人最终得分=商务报价分+技术分</w:t>
      </w:r>
    </w:p>
    <w:p>
      <w:pPr>
        <w:adjustRightInd w:val="0"/>
        <w:snapToGrid w:val="0"/>
        <w:spacing w:line="360" w:lineRule="auto"/>
        <w:rPr>
          <w:rFonts w:ascii="宋体" w:hAnsi="宋体"/>
          <w:sz w:val="24"/>
          <w:szCs w:val="24"/>
        </w:rPr>
      </w:pPr>
      <w:r>
        <w:rPr>
          <w:rFonts w:ascii="宋体" w:hAnsi="宋体"/>
          <w:sz w:val="24"/>
          <w:szCs w:val="24"/>
        </w:rPr>
        <w:t>评标委员会推荐得分最高的投标人为第一中标候选人、得分次高的投标人为第二中标候选人（如果得分相同，则按投标人报价从低到高顺序推荐为中标候选人；如果投标报价也相同，则抽签决定），并编写评标报告</w:t>
      </w:r>
      <w:r>
        <w:rPr>
          <w:rFonts w:hint="eastAsia" w:ascii="宋体" w:hAnsi="宋体"/>
          <w:sz w:val="24"/>
          <w:szCs w:val="24"/>
        </w:rPr>
        <w:t>。</w:t>
      </w:r>
    </w:p>
    <w:p>
      <w:pPr>
        <w:adjustRightInd w:val="0"/>
        <w:snapToGrid w:val="0"/>
        <w:spacing w:line="360" w:lineRule="auto"/>
        <w:rPr>
          <w:rFonts w:ascii="宋体" w:hAnsi="宋体"/>
          <w:b/>
          <w:sz w:val="24"/>
          <w:szCs w:val="24"/>
        </w:rPr>
      </w:pPr>
      <w:r>
        <w:rPr>
          <w:rFonts w:hint="eastAsia" w:ascii="宋体" w:hAnsi="宋体"/>
          <w:b/>
          <w:sz w:val="24"/>
          <w:szCs w:val="24"/>
        </w:rPr>
        <w:t>1、技术评审（总分</w:t>
      </w:r>
      <w:r>
        <w:rPr>
          <w:rFonts w:hint="eastAsia" w:ascii="宋体" w:hAnsi="宋体"/>
          <w:b/>
          <w:sz w:val="24"/>
          <w:szCs w:val="24"/>
          <w:lang w:val="en-US" w:eastAsia="zh-CN"/>
        </w:rPr>
        <w:t>60</w:t>
      </w:r>
      <w:r>
        <w:rPr>
          <w:rFonts w:hint="eastAsia" w:ascii="宋体" w:hAnsi="宋体"/>
          <w:b/>
          <w:sz w:val="24"/>
          <w:szCs w:val="24"/>
        </w:rPr>
        <w:t>分）</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由评标专家负责对投标文件的技术部分采用记名方式各自评分。</w:t>
      </w:r>
      <w:r>
        <w:rPr>
          <w:rFonts w:hint="eastAsia" w:ascii="宋体" w:hAnsi="宋体" w:cs="黑体"/>
          <w:sz w:val="24"/>
          <w:szCs w:val="24"/>
        </w:rPr>
        <w:t>投标人的最终技术部分的得分</w:t>
      </w:r>
      <w:r>
        <w:rPr>
          <w:rFonts w:hint="eastAsia" w:ascii="宋体" w:hAnsi="宋体"/>
          <w:sz w:val="24"/>
          <w:szCs w:val="24"/>
        </w:rPr>
        <w:t>为全体评标专家评分的算术平均值。如某一份评分表中某一项评分，超过评分细则所规定的分值范围，则该张打分表无效。</w:t>
      </w:r>
    </w:p>
    <w:tbl>
      <w:tblPr>
        <w:tblStyle w:val="14"/>
        <w:tblW w:w="96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304"/>
        <w:gridCol w:w="620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248" w:type="dxa"/>
            <w:vAlign w:val="center"/>
          </w:tcPr>
          <w:p>
            <w:pPr>
              <w:jc w:val="center"/>
              <w:rPr>
                <w:rFonts w:ascii="宋体" w:hAnsi="宋体"/>
                <w:sz w:val="24"/>
                <w:szCs w:val="24"/>
              </w:rPr>
            </w:pPr>
            <w:r>
              <w:rPr>
                <w:rFonts w:hint="eastAsia"/>
                <w:b/>
                <w:sz w:val="24"/>
                <w:szCs w:val="24"/>
              </w:rPr>
              <w:t>项目</w:t>
            </w:r>
          </w:p>
        </w:tc>
        <w:tc>
          <w:tcPr>
            <w:tcW w:w="7512" w:type="dxa"/>
            <w:gridSpan w:val="2"/>
            <w:vAlign w:val="center"/>
          </w:tcPr>
          <w:p>
            <w:pPr>
              <w:ind w:firstLine="482"/>
              <w:jc w:val="center"/>
              <w:rPr>
                <w:b/>
                <w:sz w:val="24"/>
                <w:szCs w:val="24"/>
              </w:rPr>
            </w:pPr>
            <w:r>
              <w:rPr>
                <w:rFonts w:hint="eastAsia"/>
                <w:b/>
                <w:sz w:val="24"/>
                <w:szCs w:val="24"/>
              </w:rPr>
              <w:t>评分标准</w:t>
            </w:r>
          </w:p>
        </w:tc>
        <w:tc>
          <w:tcPr>
            <w:tcW w:w="851" w:type="dxa"/>
            <w:vAlign w:val="center"/>
          </w:tcPr>
          <w:p>
            <w:pPr>
              <w:rPr>
                <w:b/>
                <w:sz w:val="24"/>
                <w:szCs w:val="24"/>
              </w:rPr>
            </w:pPr>
            <w:r>
              <w:rPr>
                <w:rFonts w:hint="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8" w:type="dxa"/>
            <w:vMerge w:val="restart"/>
            <w:vAlign w:val="center"/>
          </w:tcPr>
          <w:p>
            <w:pPr>
              <w:ind w:left="-69" w:leftChars="-33" w:firstLine="2"/>
              <w:contextualSpacing/>
              <w:jc w:val="center"/>
              <w:rPr>
                <w:rFonts w:ascii="宋体" w:hAnsi="宋体"/>
                <w:sz w:val="24"/>
                <w:szCs w:val="24"/>
              </w:rPr>
            </w:pPr>
            <w:r>
              <w:rPr>
                <w:rFonts w:hint="eastAsia" w:ascii="宋体" w:hAnsi="宋体"/>
                <w:sz w:val="24"/>
                <w:szCs w:val="24"/>
              </w:rPr>
              <w:t>技术分</w:t>
            </w:r>
          </w:p>
          <w:p>
            <w:pPr>
              <w:ind w:left="-69" w:leftChars="-33" w:firstLine="2"/>
              <w:contextualSpacing/>
              <w:jc w:val="center"/>
              <w:rPr>
                <w:rFonts w:ascii="宋体" w:hAnsi="宋体"/>
                <w:sz w:val="24"/>
                <w:szCs w:val="24"/>
              </w:rPr>
            </w:pPr>
            <w:r>
              <w:rPr>
                <w:rFonts w:hint="eastAsia" w:ascii="宋体" w:hAnsi="宋体"/>
                <w:sz w:val="24"/>
                <w:szCs w:val="24"/>
              </w:rPr>
              <w:t>（</w:t>
            </w:r>
            <w:r>
              <w:rPr>
                <w:rFonts w:ascii="宋体" w:hAnsi="宋体"/>
                <w:sz w:val="24"/>
                <w:szCs w:val="24"/>
              </w:rPr>
              <w:t>60</w:t>
            </w:r>
            <w:r>
              <w:rPr>
                <w:rFonts w:hint="eastAsia" w:ascii="宋体" w:hAnsi="宋体"/>
                <w:sz w:val="24"/>
                <w:szCs w:val="24"/>
              </w:rPr>
              <w:t>分）</w:t>
            </w:r>
          </w:p>
        </w:tc>
        <w:tc>
          <w:tcPr>
            <w:tcW w:w="1304" w:type="dxa"/>
            <w:vAlign w:val="center"/>
          </w:tcPr>
          <w:p>
            <w:pPr>
              <w:contextualSpacing/>
              <w:jc w:val="center"/>
              <w:rPr>
                <w:rFonts w:ascii="宋体" w:hAnsi="宋体"/>
                <w:sz w:val="24"/>
                <w:szCs w:val="24"/>
              </w:rPr>
            </w:pPr>
            <w:r>
              <w:rPr>
                <w:rFonts w:hint="eastAsia" w:ascii="宋体" w:hAnsi="宋体"/>
                <w:sz w:val="24"/>
                <w:szCs w:val="24"/>
              </w:rPr>
              <w:t>综合实力</w:t>
            </w:r>
          </w:p>
        </w:tc>
        <w:tc>
          <w:tcPr>
            <w:tcW w:w="6208" w:type="dxa"/>
            <w:vAlign w:val="center"/>
          </w:tcPr>
          <w:p>
            <w:pPr>
              <w:contextualSpacing/>
              <w:rPr>
                <w:rFonts w:ascii="宋体" w:hAnsi="宋体"/>
                <w:sz w:val="24"/>
                <w:szCs w:val="24"/>
              </w:rPr>
            </w:pPr>
            <w:r>
              <w:rPr>
                <w:rFonts w:hint="eastAsia" w:hAnsi="宋体"/>
                <w:kern w:val="0"/>
                <w:sz w:val="24"/>
                <w:szCs w:val="24"/>
              </w:rPr>
              <w:t>根据投标人的</w:t>
            </w:r>
            <w:r>
              <w:rPr>
                <w:rFonts w:hint="eastAsia" w:hAnsi="宋体"/>
                <w:sz w:val="24"/>
                <w:szCs w:val="24"/>
              </w:rPr>
              <w:t>综合实力横向评价。</w:t>
            </w:r>
          </w:p>
        </w:tc>
        <w:tc>
          <w:tcPr>
            <w:tcW w:w="851" w:type="dxa"/>
            <w:vAlign w:val="center"/>
          </w:tcPr>
          <w:p>
            <w:pPr>
              <w:spacing w:line="360" w:lineRule="auto"/>
              <w:jc w:val="center"/>
              <w:rPr>
                <w:rFonts w:ascii="宋体" w:hAnsi="宋体"/>
                <w:sz w:val="24"/>
                <w:szCs w:val="24"/>
              </w:rPr>
            </w:pPr>
            <w:r>
              <w:rPr>
                <w:rFonts w:hint="eastAsia" w:ascii="宋体" w:hAnsi="宋体"/>
                <w:sz w:val="24"/>
                <w:szCs w:val="24"/>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8" w:type="dxa"/>
            <w:vMerge w:val="continue"/>
            <w:vAlign w:val="center"/>
          </w:tcPr>
          <w:p>
            <w:pPr>
              <w:ind w:left="-69" w:leftChars="-33" w:firstLine="2"/>
              <w:contextualSpacing/>
              <w:jc w:val="center"/>
              <w:rPr>
                <w:rFonts w:ascii="宋体" w:hAnsi="宋体"/>
                <w:sz w:val="24"/>
                <w:szCs w:val="24"/>
              </w:rPr>
            </w:pPr>
          </w:p>
        </w:tc>
        <w:tc>
          <w:tcPr>
            <w:tcW w:w="1304" w:type="dxa"/>
            <w:vAlign w:val="center"/>
          </w:tcPr>
          <w:p>
            <w:pPr>
              <w:contextualSpacing/>
              <w:jc w:val="center"/>
              <w:rPr>
                <w:rFonts w:ascii="宋体" w:hAnsi="宋体"/>
                <w:sz w:val="24"/>
                <w:szCs w:val="24"/>
              </w:rPr>
            </w:pPr>
            <w:r>
              <w:rPr>
                <w:rFonts w:ascii="宋体" w:hAnsi="宋体"/>
                <w:sz w:val="24"/>
                <w:szCs w:val="24"/>
              </w:rPr>
              <w:t>对</w:t>
            </w:r>
            <w:r>
              <w:rPr>
                <w:rFonts w:hint="eastAsia" w:ascii="宋体" w:hAnsi="宋体"/>
                <w:sz w:val="24"/>
                <w:szCs w:val="24"/>
              </w:rPr>
              <w:t>维修耗材</w:t>
            </w:r>
            <w:r>
              <w:rPr>
                <w:rFonts w:ascii="宋体" w:hAnsi="宋体"/>
                <w:sz w:val="24"/>
                <w:szCs w:val="24"/>
              </w:rPr>
              <w:t>的响应情况</w:t>
            </w:r>
          </w:p>
        </w:tc>
        <w:tc>
          <w:tcPr>
            <w:tcW w:w="6208" w:type="dxa"/>
            <w:vAlign w:val="center"/>
          </w:tcPr>
          <w:p>
            <w:pPr>
              <w:contextualSpacing/>
              <w:rPr>
                <w:rFonts w:ascii="宋体" w:hAnsi="宋体"/>
                <w:sz w:val="24"/>
                <w:szCs w:val="24"/>
              </w:rPr>
            </w:pPr>
            <w:r>
              <w:rPr>
                <w:rFonts w:hint="eastAsia" w:ascii="宋体" w:hAnsi="宋体"/>
                <w:sz w:val="24"/>
                <w:szCs w:val="24"/>
              </w:rPr>
              <w:t>根据</w:t>
            </w:r>
            <w:r>
              <w:rPr>
                <w:rFonts w:ascii="宋体" w:hAnsi="宋体"/>
                <w:sz w:val="24"/>
                <w:szCs w:val="24"/>
              </w:rPr>
              <w:t>维修耗材的品牌响应</w:t>
            </w:r>
            <w:r>
              <w:rPr>
                <w:rFonts w:hint="eastAsia" w:ascii="宋体" w:hAnsi="宋体"/>
                <w:sz w:val="24"/>
                <w:szCs w:val="24"/>
              </w:rPr>
              <w:t>情况</w:t>
            </w:r>
            <w:r>
              <w:rPr>
                <w:rFonts w:ascii="宋体" w:hAnsi="宋体"/>
                <w:sz w:val="24"/>
                <w:szCs w:val="24"/>
              </w:rPr>
              <w:t>进行横向评价</w:t>
            </w:r>
            <w:r>
              <w:rPr>
                <w:rFonts w:hint="eastAsia" w:ascii="宋体" w:hAnsi="宋体"/>
                <w:sz w:val="24"/>
                <w:szCs w:val="24"/>
              </w:rPr>
              <w:t>。</w:t>
            </w:r>
          </w:p>
        </w:tc>
        <w:tc>
          <w:tcPr>
            <w:tcW w:w="851" w:type="dxa"/>
            <w:vAlign w:val="center"/>
          </w:tcPr>
          <w:p>
            <w:pPr>
              <w:spacing w:line="360" w:lineRule="auto"/>
              <w:jc w:val="center"/>
              <w:rPr>
                <w:rFonts w:ascii="宋体" w:hAnsi="宋体"/>
                <w:sz w:val="24"/>
                <w:szCs w:val="24"/>
              </w:rPr>
            </w:pPr>
            <w:r>
              <w:rPr>
                <w:rFonts w:ascii="宋体" w:hAnsi="宋体"/>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8" w:type="dxa"/>
            <w:vMerge w:val="continue"/>
            <w:vAlign w:val="center"/>
          </w:tcPr>
          <w:p>
            <w:pPr>
              <w:ind w:left="-69" w:leftChars="-33" w:firstLine="2"/>
              <w:contextualSpacing/>
              <w:jc w:val="center"/>
              <w:rPr>
                <w:rFonts w:ascii="宋体" w:hAnsi="宋体"/>
                <w:sz w:val="24"/>
                <w:szCs w:val="24"/>
              </w:rPr>
            </w:pPr>
          </w:p>
        </w:tc>
        <w:tc>
          <w:tcPr>
            <w:tcW w:w="1304" w:type="dxa"/>
            <w:vAlign w:val="center"/>
          </w:tcPr>
          <w:p>
            <w:pPr>
              <w:contextualSpacing/>
              <w:jc w:val="center"/>
              <w:rPr>
                <w:rFonts w:ascii="宋体" w:hAnsi="宋体"/>
                <w:sz w:val="24"/>
                <w:szCs w:val="24"/>
              </w:rPr>
            </w:pPr>
            <w:r>
              <w:rPr>
                <w:rFonts w:hint="eastAsia" w:ascii="宋体" w:hAnsi="宋体"/>
                <w:sz w:val="24"/>
                <w:szCs w:val="24"/>
              </w:rPr>
              <w:t>投标人业绩情况</w:t>
            </w:r>
          </w:p>
        </w:tc>
        <w:tc>
          <w:tcPr>
            <w:tcW w:w="6208" w:type="dxa"/>
            <w:vAlign w:val="center"/>
          </w:tcPr>
          <w:p>
            <w:pPr>
              <w:contextualSpacing/>
              <w:rPr>
                <w:rFonts w:ascii="宋体" w:hAnsi="宋体"/>
                <w:sz w:val="24"/>
                <w:szCs w:val="24"/>
              </w:rPr>
            </w:pPr>
            <w:r>
              <w:rPr>
                <w:rFonts w:hint="eastAsia" w:ascii="宋体" w:hAnsi="宋体"/>
                <w:sz w:val="24"/>
                <w:szCs w:val="24"/>
              </w:rPr>
              <w:t>投标人自2</w:t>
            </w:r>
            <w:r>
              <w:rPr>
                <w:rFonts w:ascii="宋体" w:hAnsi="宋体"/>
                <w:sz w:val="24"/>
                <w:szCs w:val="24"/>
              </w:rPr>
              <w:t>017年</w:t>
            </w:r>
            <w:r>
              <w:rPr>
                <w:rFonts w:hint="eastAsia" w:ascii="宋体" w:hAnsi="宋体"/>
                <w:sz w:val="24"/>
                <w:szCs w:val="24"/>
              </w:rPr>
              <w:t>1月1日至今已完成的医院纯水维护保养合同（同一业主的合同只算一个业绩），每个合同得</w:t>
            </w:r>
            <w:r>
              <w:rPr>
                <w:rFonts w:ascii="宋体" w:hAnsi="宋体"/>
                <w:sz w:val="24"/>
                <w:szCs w:val="24"/>
              </w:rPr>
              <w:t>2</w:t>
            </w:r>
            <w:r>
              <w:rPr>
                <w:rFonts w:hint="eastAsia" w:ascii="宋体" w:hAnsi="宋体"/>
                <w:sz w:val="24"/>
                <w:szCs w:val="24"/>
              </w:rPr>
              <w:t>分，满分</w:t>
            </w:r>
            <w:r>
              <w:rPr>
                <w:rFonts w:ascii="宋体" w:hAnsi="宋体"/>
                <w:sz w:val="24"/>
                <w:szCs w:val="24"/>
              </w:rPr>
              <w:t>6</w:t>
            </w:r>
            <w:r>
              <w:rPr>
                <w:rFonts w:hint="eastAsia" w:ascii="宋体" w:hAnsi="宋体"/>
                <w:sz w:val="24"/>
                <w:szCs w:val="24"/>
              </w:rPr>
              <w:t>分；（0-</w:t>
            </w:r>
            <w:r>
              <w:rPr>
                <w:rFonts w:ascii="宋体" w:hAnsi="宋体"/>
                <w:sz w:val="24"/>
                <w:szCs w:val="24"/>
              </w:rPr>
              <w:t>6</w:t>
            </w:r>
            <w:r>
              <w:rPr>
                <w:rFonts w:hint="eastAsia" w:ascii="宋体" w:hAnsi="宋体"/>
                <w:sz w:val="24"/>
                <w:szCs w:val="24"/>
              </w:rPr>
              <w:t>分）（投标文件中提供合同复印件及采购单位名称）</w:t>
            </w:r>
          </w:p>
        </w:tc>
        <w:tc>
          <w:tcPr>
            <w:tcW w:w="851" w:type="dxa"/>
            <w:vAlign w:val="center"/>
          </w:tcPr>
          <w:p>
            <w:pPr>
              <w:spacing w:line="360" w:lineRule="auto"/>
              <w:jc w:val="center"/>
              <w:rPr>
                <w:rFonts w:ascii="宋体" w:hAnsi="宋体"/>
                <w:sz w:val="24"/>
                <w:szCs w:val="24"/>
              </w:rPr>
            </w:pPr>
            <w:r>
              <w:rPr>
                <w:rFonts w:ascii="宋体" w:hAnsi="宋体"/>
                <w:sz w:val="24"/>
                <w:szCs w:val="24"/>
              </w:rPr>
              <w:t>6</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48" w:type="dxa"/>
            <w:vMerge w:val="continue"/>
            <w:vAlign w:val="center"/>
          </w:tcPr>
          <w:p>
            <w:pPr>
              <w:ind w:left="-69" w:leftChars="-33" w:firstLine="2"/>
              <w:contextualSpacing/>
              <w:jc w:val="center"/>
              <w:rPr>
                <w:rFonts w:ascii="宋体" w:hAnsi="宋体"/>
                <w:sz w:val="24"/>
                <w:szCs w:val="24"/>
              </w:rPr>
            </w:pPr>
          </w:p>
        </w:tc>
        <w:tc>
          <w:tcPr>
            <w:tcW w:w="1304" w:type="dxa"/>
            <w:vAlign w:val="center"/>
          </w:tcPr>
          <w:p>
            <w:pPr>
              <w:contextualSpacing/>
              <w:jc w:val="center"/>
              <w:rPr>
                <w:rFonts w:ascii="宋体" w:hAnsi="宋体"/>
                <w:sz w:val="24"/>
                <w:szCs w:val="24"/>
              </w:rPr>
            </w:pPr>
            <w:r>
              <w:rPr>
                <w:rFonts w:ascii="宋体" w:hAnsi="宋体"/>
                <w:sz w:val="24"/>
                <w:szCs w:val="24"/>
              </w:rPr>
              <w:t>维保服务方案</w:t>
            </w:r>
          </w:p>
        </w:tc>
        <w:tc>
          <w:tcPr>
            <w:tcW w:w="6208" w:type="dxa"/>
            <w:vAlign w:val="center"/>
          </w:tcPr>
          <w:p>
            <w:pPr>
              <w:contextualSpacing/>
              <w:rPr>
                <w:rFonts w:ascii="宋体" w:hAnsi="宋体"/>
                <w:sz w:val="24"/>
                <w:szCs w:val="24"/>
              </w:rPr>
            </w:pPr>
            <w:r>
              <w:rPr>
                <w:rFonts w:ascii="宋体" w:hAnsi="宋体"/>
                <w:sz w:val="24"/>
                <w:szCs w:val="24"/>
              </w:rPr>
              <w:t>根据对用户服务需求理解深入、熟悉情况、重点掌握、方案具体细致、科学可行性，进行综合评审</w:t>
            </w:r>
            <w:r>
              <w:rPr>
                <w:rFonts w:hint="eastAsia" w:ascii="宋体" w:hAnsi="宋体"/>
                <w:sz w:val="24"/>
                <w:szCs w:val="24"/>
              </w:rPr>
              <w:t>。</w:t>
            </w:r>
          </w:p>
        </w:tc>
        <w:tc>
          <w:tcPr>
            <w:tcW w:w="851" w:type="dxa"/>
            <w:vAlign w:val="center"/>
          </w:tcPr>
          <w:p>
            <w:pPr>
              <w:spacing w:line="360" w:lineRule="auto"/>
              <w:jc w:val="center"/>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248" w:type="dxa"/>
            <w:vMerge w:val="continue"/>
            <w:vAlign w:val="center"/>
          </w:tcPr>
          <w:p>
            <w:pPr>
              <w:ind w:left="-69" w:leftChars="-33" w:firstLine="2"/>
              <w:contextualSpacing/>
              <w:jc w:val="center"/>
              <w:rPr>
                <w:rFonts w:ascii="宋体" w:hAnsi="宋体"/>
                <w:sz w:val="24"/>
                <w:szCs w:val="24"/>
              </w:rPr>
            </w:pPr>
          </w:p>
        </w:tc>
        <w:tc>
          <w:tcPr>
            <w:tcW w:w="1304" w:type="dxa"/>
            <w:vAlign w:val="center"/>
          </w:tcPr>
          <w:p>
            <w:pPr>
              <w:ind w:left="-69" w:leftChars="-33" w:firstLine="2"/>
              <w:contextualSpacing/>
              <w:jc w:val="center"/>
              <w:rPr>
                <w:rFonts w:ascii="宋体" w:hAnsi="宋体"/>
                <w:sz w:val="24"/>
                <w:szCs w:val="24"/>
              </w:rPr>
            </w:pPr>
            <w:r>
              <w:rPr>
                <w:rFonts w:hint="eastAsia" w:ascii="宋体" w:hAnsi="宋体"/>
                <w:sz w:val="24"/>
                <w:szCs w:val="24"/>
              </w:rPr>
              <w:t>投标人员配备情况</w:t>
            </w:r>
          </w:p>
        </w:tc>
        <w:tc>
          <w:tcPr>
            <w:tcW w:w="6208" w:type="dxa"/>
            <w:vAlign w:val="center"/>
          </w:tcPr>
          <w:p>
            <w:pPr>
              <w:contextualSpacing/>
              <w:rPr>
                <w:rFonts w:ascii="宋体" w:hAnsi="宋体"/>
                <w:sz w:val="24"/>
                <w:szCs w:val="24"/>
              </w:rPr>
            </w:pPr>
            <w:r>
              <w:rPr>
                <w:rFonts w:hint="eastAsia" w:ascii="宋体" w:hAnsi="宋体"/>
                <w:sz w:val="24"/>
                <w:szCs w:val="24"/>
              </w:rPr>
              <w:t>根据投标人拟派本项目的团队构成情况进行综合评审，根据执业资格、专业技术职称、资历情况、项目成员相关维保经验等横向比较评分。</w:t>
            </w:r>
          </w:p>
        </w:tc>
        <w:tc>
          <w:tcPr>
            <w:tcW w:w="851" w:type="dxa"/>
            <w:vAlign w:val="center"/>
          </w:tcPr>
          <w:p>
            <w:pPr>
              <w:spacing w:line="360" w:lineRule="auto"/>
              <w:ind w:left="-69" w:leftChars="-33" w:firstLine="2"/>
              <w:jc w:val="center"/>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48" w:type="dxa"/>
            <w:vMerge w:val="continue"/>
            <w:vAlign w:val="center"/>
          </w:tcPr>
          <w:p>
            <w:pPr>
              <w:ind w:left="-69" w:leftChars="-33" w:firstLine="2"/>
              <w:contextualSpacing/>
              <w:rPr>
                <w:rFonts w:ascii="宋体" w:hAnsi="宋体"/>
                <w:sz w:val="24"/>
                <w:szCs w:val="24"/>
              </w:rPr>
            </w:pPr>
          </w:p>
        </w:tc>
        <w:tc>
          <w:tcPr>
            <w:tcW w:w="1304" w:type="dxa"/>
            <w:vMerge w:val="restart"/>
            <w:shd w:val="clear" w:color="auto" w:fill="auto"/>
            <w:vAlign w:val="center"/>
          </w:tcPr>
          <w:p>
            <w:pPr>
              <w:ind w:left="-69" w:leftChars="-33" w:firstLine="2"/>
              <w:contextualSpacing/>
              <w:jc w:val="center"/>
              <w:rPr>
                <w:rFonts w:ascii="宋体" w:hAnsi="宋体"/>
                <w:sz w:val="24"/>
                <w:szCs w:val="24"/>
                <w:highlight w:val="yellow"/>
              </w:rPr>
            </w:pPr>
            <w:r>
              <w:rPr>
                <w:rFonts w:hint="eastAsia" w:ascii="宋体" w:hAnsi="宋体"/>
                <w:sz w:val="24"/>
                <w:szCs w:val="24"/>
              </w:rPr>
              <w:t>服务保障与承诺</w:t>
            </w:r>
          </w:p>
        </w:tc>
        <w:tc>
          <w:tcPr>
            <w:tcW w:w="6208" w:type="dxa"/>
            <w:shd w:val="clear" w:color="auto" w:fill="auto"/>
            <w:vAlign w:val="center"/>
          </w:tcPr>
          <w:p>
            <w:pPr>
              <w:ind w:left="-69" w:leftChars="-33" w:firstLine="2"/>
              <w:contextualSpacing/>
              <w:rPr>
                <w:rFonts w:ascii="宋体" w:hAnsi="宋体"/>
                <w:sz w:val="24"/>
                <w:szCs w:val="24"/>
                <w:highlight w:val="yellow"/>
              </w:rPr>
            </w:pPr>
            <w:r>
              <w:rPr>
                <w:rFonts w:hint="eastAsia" w:ascii="宋体" w:hAnsi="宋体"/>
                <w:sz w:val="24"/>
                <w:szCs w:val="24"/>
              </w:rPr>
              <w:t>根据投标人提供的售后服务内容、售后服务响应时间、反应速度等进行综合评审。</w:t>
            </w:r>
          </w:p>
        </w:tc>
        <w:tc>
          <w:tcPr>
            <w:tcW w:w="851" w:type="dxa"/>
            <w:shd w:val="clear" w:color="auto" w:fill="auto"/>
            <w:vAlign w:val="center"/>
          </w:tcPr>
          <w:p>
            <w:pPr>
              <w:spacing w:line="360" w:lineRule="auto"/>
              <w:ind w:left="-69" w:leftChars="-33" w:firstLine="2"/>
              <w:jc w:val="center"/>
              <w:rPr>
                <w:rFonts w:ascii="宋体" w:hAnsi="宋体"/>
                <w:sz w:val="24"/>
                <w:szCs w:val="24"/>
              </w:rPr>
            </w:pPr>
            <w:r>
              <w:rPr>
                <w:rFonts w:hint="eastAsia" w:ascii="宋体" w:hAnsi="宋体"/>
                <w:sz w:val="24"/>
                <w:szCs w:val="24"/>
              </w:rPr>
              <w:t>1</w:t>
            </w:r>
            <w:r>
              <w:rPr>
                <w:rFonts w:ascii="宋体" w:hAnsi="宋体"/>
                <w:sz w:val="24"/>
                <w:szCs w:val="24"/>
              </w:rPr>
              <w:t>0</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48" w:type="dxa"/>
            <w:vMerge w:val="continue"/>
            <w:vAlign w:val="center"/>
          </w:tcPr>
          <w:p>
            <w:pPr>
              <w:ind w:left="-69" w:leftChars="-33" w:firstLine="2"/>
              <w:contextualSpacing/>
              <w:rPr>
                <w:rFonts w:ascii="宋体" w:hAnsi="宋体"/>
                <w:sz w:val="24"/>
                <w:szCs w:val="24"/>
              </w:rPr>
            </w:pPr>
          </w:p>
        </w:tc>
        <w:tc>
          <w:tcPr>
            <w:tcW w:w="1304" w:type="dxa"/>
            <w:vMerge w:val="continue"/>
            <w:shd w:val="clear" w:color="auto" w:fill="auto"/>
            <w:vAlign w:val="center"/>
          </w:tcPr>
          <w:p>
            <w:pPr>
              <w:ind w:left="-69" w:leftChars="-33" w:firstLine="2"/>
              <w:contextualSpacing/>
              <w:jc w:val="center"/>
              <w:rPr>
                <w:rFonts w:ascii="宋体" w:hAnsi="宋体"/>
                <w:sz w:val="24"/>
                <w:szCs w:val="24"/>
                <w:highlight w:val="yellow"/>
              </w:rPr>
            </w:pPr>
          </w:p>
        </w:tc>
        <w:tc>
          <w:tcPr>
            <w:tcW w:w="6208" w:type="dxa"/>
            <w:shd w:val="clear" w:color="auto" w:fill="auto"/>
            <w:vAlign w:val="center"/>
          </w:tcPr>
          <w:p>
            <w:pPr>
              <w:ind w:left="-69" w:leftChars="-33" w:firstLine="2"/>
              <w:contextualSpacing/>
              <w:rPr>
                <w:rFonts w:ascii="宋体" w:hAnsi="宋体"/>
                <w:sz w:val="24"/>
                <w:szCs w:val="24"/>
              </w:rPr>
            </w:pPr>
            <w:r>
              <w:rPr>
                <w:rFonts w:hint="eastAsia" w:ascii="宋体" w:hAnsi="宋体"/>
                <w:sz w:val="24"/>
                <w:szCs w:val="24"/>
              </w:rPr>
              <w:t>投标人维保品质、维保货物等方面制定的针对本项目的服务方案（</w:t>
            </w:r>
            <w:r>
              <w:rPr>
                <w:rFonts w:ascii="宋体" w:hAnsi="宋体"/>
                <w:sz w:val="24"/>
                <w:szCs w:val="24"/>
              </w:rPr>
              <w:t>6</w:t>
            </w:r>
            <w:r>
              <w:rPr>
                <w:rFonts w:hint="eastAsia" w:ascii="宋体" w:hAnsi="宋体"/>
                <w:sz w:val="24"/>
                <w:szCs w:val="24"/>
              </w:rPr>
              <w:t>分）进行综合评审。</w:t>
            </w:r>
          </w:p>
        </w:tc>
        <w:tc>
          <w:tcPr>
            <w:tcW w:w="851" w:type="dxa"/>
            <w:shd w:val="clear" w:color="auto" w:fill="auto"/>
            <w:vAlign w:val="center"/>
          </w:tcPr>
          <w:p>
            <w:pPr>
              <w:spacing w:line="360" w:lineRule="auto"/>
              <w:ind w:left="-69" w:leftChars="-33" w:firstLine="2"/>
              <w:jc w:val="center"/>
              <w:rPr>
                <w:rFonts w:ascii="宋体" w:hAnsi="宋体"/>
                <w:sz w:val="24"/>
                <w:szCs w:val="24"/>
              </w:rPr>
            </w:pPr>
            <w:r>
              <w:rPr>
                <w:rFonts w:ascii="宋体" w:hAnsi="宋体"/>
                <w:sz w:val="24"/>
                <w:szCs w:val="24"/>
              </w:rPr>
              <w:t>8</w:t>
            </w:r>
            <w:r>
              <w:rPr>
                <w:rFonts w:hint="eastAsia" w:ascii="宋体" w:hAnsi="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48" w:type="dxa"/>
            <w:vMerge w:val="continue"/>
            <w:vAlign w:val="center"/>
          </w:tcPr>
          <w:p>
            <w:pPr>
              <w:ind w:left="-69" w:leftChars="-33" w:firstLine="2"/>
              <w:contextualSpacing/>
              <w:rPr>
                <w:rFonts w:ascii="宋体" w:hAnsi="宋体"/>
                <w:sz w:val="24"/>
                <w:szCs w:val="24"/>
              </w:rPr>
            </w:pPr>
          </w:p>
        </w:tc>
        <w:tc>
          <w:tcPr>
            <w:tcW w:w="1304" w:type="dxa"/>
            <w:shd w:val="clear" w:color="auto" w:fill="auto"/>
            <w:vAlign w:val="center"/>
          </w:tcPr>
          <w:p>
            <w:pPr>
              <w:ind w:left="-69" w:leftChars="-33" w:firstLine="2"/>
              <w:contextualSpacing/>
              <w:jc w:val="center"/>
              <w:rPr>
                <w:rFonts w:ascii="宋体" w:hAnsi="宋体"/>
                <w:sz w:val="24"/>
                <w:szCs w:val="24"/>
              </w:rPr>
            </w:pPr>
            <w:r>
              <w:rPr>
                <w:rFonts w:hint="eastAsia" w:ascii="宋体" w:hAnsi="宋体"/>
                <w:sz w:val="24"/>
                <w:szCs w:val="24"/>
              </w:rPr>
              <w:t>优惠方案</w:t>
            </w:r>
          </w:p>
        </w:tc>
        <w:tc>
          <w:tcPr>
            <w:tcW w:w="6208" w:type="dxa"/>
            <w:shd w:val="clear" w:color="auto" w:fill="auto"/>
            <w:vAlign w:val="center"/>
          </w:tcPr>
          <w:p>
            <w:pPr>
              <w:ind w:left="-69" w:leftChars="-33" w:firstLine="2"/>
              <w:contextualSpacing/>
              <w:rPr>
                <w:rFonts w:ascii="宋体" w:hAnsi="宋体"/>
                <w:sz w:val="24"/>
                <w:szCs w:val="24"/>
              </w:rPr>
            </w:pPr>
            <w:r>
              <w:rPr>
                <w:rFonts w:hint="eastAsia" w:ascii="宋体" w:hAnsi="宋体"/>
                <w:sz w:val="24"/>
                <w:szCs w:val="24"/>
              </w:rPr>
              <w:t>对该项目其他优惠方案进行打分。比如更换设备耗材的报价等（0</w:t>
            </w:r>
            <w:r>
              <w:rPr>
                <w:rFonts w:ascii="宋体" w:hAnsi="宋体"/>
                <w:sz w:val="24"/>
                <w:szCs w:val="24"/>
              </w:rPr>
              <w:t>-6分</w:t>
            </w:r>
            <w:r>
              <w:rPr>
                <w:rFonts w:hint="eastAsia" w:ascii="宋体" w:hAnsi="宋体"/>
                <w:sz w:val="24"/>
                <w:szCs w:val="24"/>
              </w:rPr>
              <w:t>）</w:t>
            </w:r>
          </w:p>
        </w:tc>
        <w:tc>
          <w:tcPr>
            <w:tcW w:w="851" w:type="dxa"/>
            <w:shd w:val="clear" w:color="auto" w:fill="auto"/>
            <w:vAlign w:val="center"/>
          </w:tcPr>
          <w:p>
            <w:pPr>
              <w:spacing w:line="360" w:lineRule="auto"/>
              <w:ind w:left="-69" w:leftChars="-33" w:firstLine="2"/>
              <w:jc w:val="center"/>
              <w:rPr>
                <w:rFonts w:ascii="宋体" w:hAnsi="宋体"/>
                <w:sz w:val="24"/>
                <w:szCs w:val="24"/>
              </w:rPr>
            </w:pPr>
            <w:r>
              <w:rPr>
                <w:rFonts w:hint="eastAsia" w:ascii="宋体" w:hAnsi="宋体"/>
                <w:sz w:val="24"/>
                <w:szCs w:val="24"/>
              </w:rPr>
              <w:t>6分</w:t>
            </w:r>
          </w:p>
        </w:tc>
      </w:tr>
    </w:tbl>
    <w:p>
      <w:pPr>
        <w:adjustRightInd w:val="0"/>
        <w:snapToGrid w:val="0"/>
        <w:spacing w:line="360" w:lineRule="auto"/>
        <w:rPr>
          <w:rFonts w:ascii="宋体" w:hAnsi="宋体"/>
          <w:color w:val="FF0000"/>
          <w:szCs w:val="21"/>
        </w:rPr>
      </w:pPr>
    </w:p>
    <w:p>
      <w:pPr>
        <w:adjustRightInd w:val="0"/>
        <w:snapToGrid w:val="0"/>
        <w:spacing w:line="360" w:lineRule="auto"/>
        <w:rPr>
          <w:rFonts w:ascii="宋体" w:hAnsi="宋体"/>
          <w:b/>
          <w:sz w:val="24"/>
          <w:szCs w:val="24"/>
        </w:rPr>
      </w:pPr>
      <w:r>
        <w:rPr>
          <w:rFonts w:hint="eastAsia" w:ascii="宋体" w:hAnsi="宋体"/>
          <w:b/>
          <w:sz w:val="24"/>
          <w:szCs w:val="24"/>
        </w:rPr>
        <w:t>2、商务评审（总分</w:t>
      </w:r>
      <w:r>
        <w:rPr>
          <w:rFonts w:ascii="宋体" w:hAnsi="宋体"/>
          <w:b/>
          <w:color w:val="FF0000"/>
          <w:sz w:val="24"/>
          <w:szCs w:val="24"/>
        </w:rPr>
        <w:t>40</w:t>
      </w:r>
      <w:r>
        <w:rPr>
          <w:rFonts w:hint="eastAsia" w:ascii="宋体" w:hAnsi="宋体"/>
          <w:b/>
          <w:sz w:val="24"/>
          <w:szCs w:val="24"/>
        </w:rPr>
        <w:t>分）</w:t>
      </w:r>
    </w:p>
    <w:p>
      <w:pPr>
        <w:adjustRightInd w:val="0"/>
        <w:snapToGrid w:val="0"/>
        <w:spacing w:line="360" w:lineRule="auto"/>
        <w:ind w:firstLine="480" w:firstLineChars="200"/>
        <w:rPr>
          <w:rFonts w:ascii="宋体" w:hAnsi="宋体"/>
          <w:sz w:val="24"/>
          <w:szCs w:val="24"/>
        </w:rPr>
      </w:pPr>
      <w:r>
        <w:rPr>
          <w:rFonts w:ascii="宋体" w:hAnsi="宋体"/>
          <w:sz w:val="24"/>
          <w:szCs w:val="24"/>
        </w:rPr>
        <w:t>评标基准价以满足招标文件要求且投标价格最低的投标报价为评标基准价，其商务报价分为</w:t>
      </w:r>
      <w:r>
        <w:rPr>
          <w:rFonts w:ascii="宋体" w:hAnsi="宋体"/>
          <w:color w:val="FF0000"/>
          <w:sz w:val="24"/>
          <w:szCs w:val="24"/>
        </w:rPr>
        <w:t>40</w:t>
      </w:r>
      <w:r>
        <w:rPr>
          <w:rFonts w:ascii="宋体" w:hAnsi="宋体"/>
          <w:sz w:val="24"/>
          <w:szCs w:val="24"/>
        </w:rPr>
        <w:t>分</w:t>
      </w:r>
      <w:r>
        <w:rPr>
          <w:rFonts w:hint="eastAsia" w:ascii="宋体" w:hAnsi="宋体"/>
          <w:sz w:val="24"/>
          <w:szCs w:val="24"/>
        </w:rPr>
        <w:t>。</w:t>
      </w:r>
    </w:p>
    <w:p>
      <w:pPr>
        <w:adjustRightInd w:val="0"/>
        <w:snapToGrid w:val="0"/>
        <w:spacing w:line="360" w:lineRule="auto"/>
        <w:ind w:firstLine="482" w:firstLineChars="200"/>
        <w:jc w:val="center"/>
        <w:rPr>
          <w:rFonts w:ascii="宋体" w:hAnsi="宋体"/>
          <w:b/>
          <w:sz w:val="24"/>
          <w:szCs w:val="24"/>
        </w:rPr>
      </w:pPr>
      <w:r>
        <w:rPr>
          <w:rFonts w:ascii="宋体" w:hAnsi="宋体"/>
          <w:b/>
          <w:sz w:val="24"/>
          <w:szCs w:val="24"/>
        </w:rPr>
        <w:t>商务得分=（评标基准价/投标报价）×</w:t>
      </w:r>
      <w:r>
        <w:rPr>
          <w:rFonts w:ascii="宋体" w:hAnsi="宋体"/>
          <w:b/>
          <w:color w:val="FF0000"/>
          <w:sz w:val="24"/>
          <w:szCs w:val="24"/>
        </w:rPr>
        <w:t>40</w:t>
      </w:r>
      <w:r>
        <w:rPr>
          <w:rFonts w:ascii="宋体" w:hAnsi="宋体"/>
          <w:b/>
          <w:sz w:val="24"/>
          <w:szCs w:val="24"/>
        </w:rPr>
        <w:t>%×100，保留小数2位</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由商务评标专家对投标文件进行商务评审。商务评标专家应对商务报价的范围、单价等进行全面审阅和对比分析，找出报价差异的原因及存在的问题。商务报价评审应以报价口径范围一致的评标价为依据。评标价应在最终报价的基础上，按照招标文件约定的因素和方法进行计算。凡属招标文件的原因造成报价口径范围不一致的，应予以调整，但因投标人自身失误造成多算、少算、漏算的，不得调整。</w:t>
      </w:r>
    </w:p>
    <w:p>
      <w:pPr>
        <w:adjustRightInd w:val="0"/>
        <w:snapToGrid w:val="0"/>
        <w:spacing w:line="360" w:lineRule="auto"/>
        <w:rPr>
          <w:rFonts w:ascii="宋体" w:hAnsi="宋体"/>
          <w:sz w:val="24"/>
          <w:szCs w:val="24"/>
        </w:rPr>
      </w:pPr>
      <w:r>
        <w:rPr>
          <w:rFonts w:hint="eastAsia" w:ascii="宋体" w:hAnsi="宋体"/>
          <w:sz w:val="24"/>
          <w:szCs w:val="24"/>
        </w:rPr>
        <w:t>3、投标人的综合得分为以上两部分评分的总和。</w:t>
      </w:r>
    </w:p>
    <w:p>
      <w:pPr>
        <w:adjustRightInd w:val="0"/>
        <w:snapToGrid w:val="0"/>
        <w:spacing w:line="360" w:lineRule="auto"/>
        <w:rPr>
          <w:rFonts w:ascii="宋体" w:hAnsi="宋体" w:cs="Courier New"/>
          <w:b/>
          <w:bCs/>
          <w:sz w:val="24"/>
          <w:szCs w:val="24"/>
        </w:rPr>
      </w:pPr>
      <w:r>
        <w:rPr>
          <w:rFonts w:hint="eastAsia" w:ascii="宋体" w:hAnsi="宋体" w:cs="Courier New"/>
          <w:b/>
          <w:bCs/>
          <w:sz w:val="24"/>
          <w:szCs w:val="24"/>
        </w:rPr>
        <w:t xml:space="preserve">二、评标报告 </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评标委员会全体成员应在评标报告上签字认可，评标专家如有保留意见可以在评标报告中阐明。</w:t>
      </w:r>
    </w:p>
    <w:p>
      <w:pPr>
        <w:adjustRightInd w:val="0"/>
        <w:snapToGrid w:val="0"/>
        <w:spacing w:line="360" w:lineRule="auto"/>
        <w:ind w:firstLine="435"/>
        <w:rPr>
          <w:rFonts w:ascii="宋体" w:hAnsi="宋体"/>
          <w:sz w:val="24"/>
          <w:szCs w:val="24"/>
        </w:rPr>
      </w:pPr>
      <w:r>
        <w:rPr>
          <w:rFonts w:hint="eastAsia" w:ascii="宋体" w:hAnsi="宋体"/>
          <w:sz w:val="24"/>
          <w:szCs w:val="24"/>
        </w:rPr>
        <w:t>评标委员会应在评标报告中，由得分从高到低推荐前二名为中标候选人。得分相同时，投标价低者优先。若第一中标候选人在中标后30天内拒绝与采购人签订合同的，采购人可以与第二中标候选人签约采购货物；若第一中标候选人签订合同后未按合同及采购人要求进行产品设计制作的，采购人有权与其解除合同并与第二中标候选人签订采购合同。</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仿宋" w:hAnsi="仿宋" w:eastAsia="仿宋"/>
          <w:sz w:val="24"/>
          <w:szCs w:val="24"/>
        </w:rPr>
      </w:pPr>
    </w:p>
    <w:p>
      <w:pPr>
        <w:adjustRightInd w:val="0"/>
        <w:snapToGrid w:val="0"/>
        <w:spacing w:line="360" w:lineRule="auto"/>
        <w:rPr>
          <w:rFonts w:ascii="仿宋" w:hAnsi="仿宋" w:eastAsia="仿宋"/>
          <w:sz w:val="24"/>
          <w:szCs w:val="24"/>
        </w:rPr>
      </w:pPr>
    </w:p>
    <w:p>
      <w:pPr>
        <w:adjustRightInd w:val="0"/>
        <w:snapToGrid w:val="0"/>
        <w:spacing w:line="360" w:lineRule="auto"/>
        <w:rPr>
          <w:rFonts w:ascii="仿宋" w:hAnsi="仿宋" w:eastAsia="仿宋"/>
          <w:sz w:val="24"/>
          <w:szCs w:val="24"/>
        </w:rPr>
      </w:pPr>
    </w:p>
    <w:p>
      <w:pPr>
        <w:adjustRightInd w:val="0"/>
        <w:snapToGrid w:val="0"/>
        <w:spacing w:line="360" w:lineRule="auto"/>
        <w:rPr>
          <w:rFonts w:ascii="仿宋" w:hAnsi="仿宋" w:eastAsia="仿宋"/>
          <w:sz w:val="24"/>
          <w:szCs w:val="24"/>
        </w:rPr>
      </w:pPr>
    </w:p>
    <w:p>
      <w:pPr>
        <w:adjustRightInd w:val="0"/>
        <w:snapToGrid w:val="0"/>
        <w:spacing w:line="360" w:lineRule="auto"/>
        <w:rPr>
          <w:rFonts w:ascii="仿宋" w:hAnsi="仿宋" w:eastAsia="仿宋"/>
          <w:sz w:val="24"/>
          <w:szCs w:val="24"/>
        </w:rPr>
      </w:pPr>
    </w:p>
    <w:p>
      <w:pPr>
        <w:spacing w:line="360" w:lineRule="auto"/>
        <w:jc w:val="center"/>
        <w:rPr>
          <w:rFonts w:hint="eastAsia"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华文仿宋" w:hAnsi="华文仿宋" w:eastAsia="华文仿宋"/>
          <w:b/>
          <w:bCs/>
          <w:kern w:val="0"/>
          <w:sz w:val="32"/>
          <w:szCs w:val="32"/>
        </w:rPr>
      </w:pPr>
    </w:p>
    <w:p>
      <w:pPr>
        <w:widowControl/>
        <w:spacing w:before="260" w:after="260" w:line="270" w:lineRule="atLeast"/>
        <w:ind w:left="-141" w:leftChars="-67"/>
        <w:jc w:val="left"/>
        <w:rPr>
          <w:rFonts w:ascii="华文仿宋" w:hAnsi="华文仿宋" w:eastAsia="华文仿宋"/>
          <w:b/>
          <w:bCs/>
          <w:kern w:val="0"/>
          <w:szCs w:val="21"/>
        </w:rPr>
      </w:pPr>
      <w:bookmarkStart w:id="0" w:name="_Toc350938485"/>
      <w:r>
        <w:rPr>
          <w:rFonts w:ascii="华文仿宋" w:hAnsi="华文仿宋" w:eastAsia="华文仿宋"/>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9525" t="10795" r="952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yRfATVAAAACAEAAA8AAAAAAAAAAQAgAAAAIgAAAGRycy9k&#10;b3ducmV2LnhtbFBLAQIUABQAAAAIAIdO4kC8v2P0PgIAAIcEAAAOAAAAAAAAAAEAIAAAACQBAABk&#10;cnMvZTJvRG9jLnhtbFBLBQYAAAAABgAGAFkBAADUBQ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一</w:t>
      </w:r>
      <w:r>
        <w:rPr>
          <w:rFonts w:ascii="华文仿宋" w:hAnsi="华文仿宋" w:eastAsia="华文仿宋"/>
          <w:b/>
          <w:bCs/>
          <w:kern w:val="0"/>
          <w:sz w:val="36"/>
          <w:szCs w:val="36"/>
        </w:rPr>
        <w:t xml:space="preserve">                 封面格式1</w:t>
      </w:r>
      <w:bookmarkEnd w:id="0"/>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883" w:firstLineChars="245"/>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（技术文件）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widowControl/>
        <w:tabs>
          <w:tab w:val="left" w:pos="0"/>
        </w:tabs>
        <w:snapToGrid w:val="0"/>
        <w:spacing w:line="360" w:lineRule="auto"/>
        <w:ind w:left="-141" w:leftChars="-67"/>
        <w:jc w:val="left"/>
        <w:rPr>
          <w:rFonts w:ascii="华文仿宋" w:hAnsi="华文仿宋" w:eastAsia="华文仿宋"/>
          <w:b/>
          <w:bCs/>
          <w:kern w:val="0"/>
          <w:sz w:val="32"/>
          <w:szCs w:val="32"/>
        </w:rPr>
      </w:pPr>
    </w:p>
    <w:p>
      <w:pPr>
        <w:widowControl/>
        <w:spacing w:before="150" w:after="150" w:line="480" w:lineRule="atLeast"/>
        <w:ind w:left="-141" w:leftChars="-67" w:right="300" w:firstLine="480"/>
        <w:jc w:val="left"/>
        <w:rPr>
          <w:rFonts w:ascii="华文仿宋" w:hAnsi="华文仿宋" w:eastAsia="华文仿宋"/>
          <w:kern w:val="0"/>
        </w:rPr>
      </w:pPr>
      <w:r>
        <w:rPr>
          <w:rFonts w:ascii="华文仿宋" w:hAnsi="华文仿宋" w:eastAsia="华文仿宋"/>
          <w:kern w:val="0"/>
        </w:rPr>
        <w:t> </w:t>
      </w:r>
    </w:p>
    <w:p>
      <w:pPr>
        <w:widowControl/>
        <w:spacing w:before="260" w:after="260" w:line="270" w:lineRule="atLeast"/>
        <w:ind w:left="-141" w:leftChars="-67"/>
        <w:jc w:val="left"/>
        <w:rPr>
          <w:rFonts w:ascii="华文仿宋" w:hAnsi="华文仿宋" w:eastAsia="华文仿宋"/>
          <w:b/>
          <w:bCs/>
          <w:kern w:val="0"/>
          <w:sz w:val="36"/>
          <w:szCs w:val="36"/>
        </w:rPr>
      </w:pPr>
      <w:bookmarkStart w:id="1" w:name="_Toc350938486"/>
    </w:p>
    <w:p>
      <w:pPr>
        <w:widowControl/>
        <w:spacing w:before="260" w:after="260" w:line="270" w:lineRule="atLeast"/>
        <w:ind w:left="-141" w:leftChars="-67"/>
        <w:jc w:val="left"/>
        <w:rPr>
          <w:rFonts w:ascii="华文仿宋" w:hAnsi="华文仿宋" w:eastAsia="华文仿宋"/>
          <w:b/>
          <w:bCs/>
          <w:kern w:val="0"/>
          <w:sz w:val="36"/>
          <w:szCs w:val="36"/>
        </w:rPr>
      </w:pPr>
      <w:r>
        <w:rPr>
          <w:rFonts w:ascii="华文仿宋" w:hAnsi="华文仿宋" w:eastAsia="华文仿宋"/>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9525" t="10160" r="9525"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qG9e1wAAAAgBAAAPAAAAAAAAAAEAIAAAACIAAABk&#10;cnMvZG93bnJldi54bWxQSwECFAAUAAAACACHTuJAe/TJREACAACHBAAADgAAAAAAAAABACAAAAAm&#10;AQAAZHJzL2Uyb0RvYy54bWxQSwUGAAAAAAYABgBZAQAA2AU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华文仿宋" w:hAnsi="华文仿宋" w:eastAsia="华文仿宋"/>
          <w:b/>
          <w:bCs/>
          <w:kern w:val="0"/>
          <w:szCs w:val="21"/>
        </w:rPr>
      </w:pP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二</w:t>
      </w:r>
      <w:r>
        <w:rPr>
          <w:rFonts w:ascii="华文仿宋" w:hAnsi="华文仿宋" w:eastAsia="华文仿宋"/>
          <w:b/>
          <w:bCs/>
          <w:kern w:val="0"/>
          <w:sz w:val="36"/>
          <w:szCs w:val="36"/>
        </w:rPr>
        <w:t xml:space="preserve">                  封面格式2</w:t>
      </w:r>
      <w:bookmarkEnd w:id="1"/>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530" w:firstLineChars="147"/>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（商务文件）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widowControl/>
        <w:spacing w:line="420" w:lineRule="atLeast"/>
        <w:rPr>
          <w:rFonts w:ascii="宋体" w:hAnsi="宋体" w:cs="宋体"/>
          <w:kern w:val="0"/>
          <w:sz w:val="28"/>
          <w:szCs w:val="28"/>
        </w:rPr>
      </w:pPr>
    </w:p>
    <w:p>
      <w:pPr>
        <w:widowControl/>
        <w:spacing w:line="42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附件三：                 投标函（格式）</w:t>
      </w:r>
    </w:p>
    <w:p>
      <w:pPr>
        <w:pStyle w:val="6"/>
        <w:spacing w:line="400" w:lineRule="exact"/>
        <w:rPr>
          <w:rFonts w:cs="宋体" w:asciiTheme="minorEastAsia" w:hAnsiTheme="minorEastAsia" w:eastAsiaTheme="minorEastAsia"/>
          <w:kern w:val="0"/>
          <w:sz w:val="24"/>
          <w:szCs w:val="24"/>
        </w:rPr>
      </w:pP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致：                  </w:t>
      </w: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1、技术标，正本一份，副本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2、商务标，正本一份，副本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3、其他：</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4、据此函，签字代表宣布同意如下：</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1）所附投标报价表中规定的应提供和支付的设备和服务投标总价为（人民币） </w:t>
      </w:r>
      <w:r>
        <w:rPr>
          <w:rFonts w:hint="eastAsia" w:cs="宋体" w:asciiTheme="minorEastAsia" w:hAnsiTheme="minorEastAsia" w:eastAsiaTheme="minorEastAsia"/>
          <w:kern w:val="0"/>
          <w:sz w:val="24"/>
          <w:szCs w:val="24"/>
          <w:u w:val="single"/>
        </w:rPr>
        <w:t>__   _</w:t>
      </w:r>
      <w:r>
        <w:rPr>
          <w:rFonts w:hint="eastAsia" w:cs="宋体" w:asciiTheme="minorEastAsia" w:hAnsiTheme="minorEastAsia" w:eastAsiaTheme="minorEastAsia"/>
          <w:kern w:val="0"/>
          <w:sz w:val="24"/>
          <w:szCs w:val="24"/>
        </w:rPr>
        <w:t xml:space="preserve">， 即 </w:t>
      </w:r>
      <w:r>
        <w:rPr>
          <w:rFonts w:hint="eastAsia" w:cs="宋体" w:asciiTheme="minorEastAsia" w:hAnsiTheme="minorEastAsia" w:eastAsiaTheme="minorEastAsia"/>
          <w:kern w:val="0"/>
          <w:sz w:val="24"/>
          <w:szCs w:val="24"/>
          <w:u w:val="single"/>
        </w:rPr>
        <w:t>___  ____</w:t>
      </w:r>
      <w:r>
        <w:rPr>
          <w:rFonts w:hint="eastAsia" w:cs="宋体" w:asciiTheme="minorEastAsia" w:hAnsiTheme="minorEastAsia" w:eastAsiaTheme="minorEastAsia"/>
          <w:kern w:val="0"/>
          <w:sz w:val="24"/>
          <w:szCs w:val="24"/>
        </w:rPr>
        <w:t>（大写）。（企业成本价为</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元）</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2）投标人已详细审查全部招标文件，我们完全理解并同意放弃对这方面有不明及误解的权利。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3）投标人将按招标文件规定履行合同责任和义务。</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4）其投标自开标之日起有效期____个日历天。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5）如果在规定的开标时间后，投标人不得在投标有效期内撤回投标。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7）投标文件中未明确的东西，一律按招标文件规定执行。</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8）与本投标有关的一切正式往来通讯请寄：</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地址：______________________             邮编：______________________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电话：______________________            传真：______________________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投标人名称：_____________ （公章）      全权代表签字： 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投标人代表职务： ______________________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投标日期： _______年____月____日      </w:t>
      </w:r>
    </w:p>
    <w:p>
      <w:pPr>
        <w:widowControl/>
        <w:spacing w:line="420" w:lineRule="atLeast"/>
        <w:ind w:firstLine="480"/>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rPr>
          <w:rFonts w:asciiTheme="minorEastAsia" w:hAnsiTheme="minorEastAsia" w:eastAsiaTheme="minorEastAsia"/>
          <w:b/>
          <w:bCs/>
          <w:sz w:val="36"/>
          <w:szCs w:val="36"/>
        </w:rPr>
      </w:pPr>
    </w:p>
    <w:p>
      <w:pPr>
        <w:rPr>
          <w:rFonts w:cs="宋体" w:asciiTheme="minorEastAsia" w:hAnsiTheme="minorEastAsia" w:eastAsiaTheme="minorEastAsia"/>
          <w:b/>
          <w:bCs/>
          <w:kern w:val="0"/>
          <w:sz w:val="28"/>
          <w:szCs w:val="28"/>
        </w:rPr>
      </w:pPr>
      <w:r>
        <w:rPr>
          <w:rFonts w:hint="eastAsia" w:cs="宋体" w:asciiTheme="minorEastAsia" w:hAnsiTheme="minorEastAsia" w:eastAsiaTheme="minorEastAsia"/>
          <w:kern w:val="0"/>
          <w:sz w:val="28"/>
          <w:szCs w:val="28"/>
        </w:rPr>
        <w:t xml:space="preserve">附件四 </w:t>
      </w:r>
      <w:r>
        <w:rPr>
          <w:rFonts w:hint="eastAsia" w:cs="宋体" w:asciiTheme="minorEastAsia" w:hAnsiTheme="minorEastAsia" w:eastAsiaTheme="minorEastAsia"/>
          <w:b/>
          <w:bCs/>
          <w:kern w:val="0"/>
          <w:sz w:val="28"/>
          <w:szCs w:val="28"/>
        </w:rPr>
        <w:t xml:space="preserve">        投标人法定代表人授权书（格式）</w:t>
      </w:r>
    </w:p>
    <w:p>
      <w:pPr>
        <w:spacing w:line="480" w:lineRule="auto"/>
        <w:rPr>
          <w:rFonts w:asciiTheme="minorEastAsia" w:hAnsiTheme="minorEastAsia" w:eastAsiaTheme="minorEastAsia"/>
          <w:b/>
          <w:sz w:val="48"/>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项目名称：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日    期：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致：（采购人名称）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u w:val="single"/>
          <w:lang w:val="zh-CN"/>
        </w:rPr>
      </w:pPr>
      <w:r>
        <w:rPr>
          <w:rFonts w:hint="eastAsia" w:cs="宋体" w:asciiTheme="minorEastAsia" w:hAnsiTheme="minorEastAsia" w:eastAsiaTheme="minorEastAsia"/>
          <w:kern w:val="0"/>
          <w:sz w:val="24"/>
          <w:szCs w:val="24"/>
          <w:lang w:val="zh-CN"/>
        </w:rPr>
        <w:t>注册于</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（注册地址）的</w:t>
      </w:r>
      <w:r>
        <w:rPr>
          <w:rFonts w:hint="eastAsia" w:cs="宋体" w:asciiTheme="minorEastAsia" w:hAnsiTheme="minorEastAsia" w:eastAsiaTheme="minorEastAsia"/>
          <w:kern w:val="0"/>
          <w:sz w:val="24"/>
          <w:szCs w:val="24"/>
          <w:u w:val="single"/>
          <w:lang w:val="zh-CN"/>
        </w:rPr>
        <w:t xml:space="preserve">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（投标人名称），系中华人民共和国合法企业；本人</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（授权人姓名）系该公司的法定代表人。现特授权本单位的（被授权人姓名）</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（身份证号码）</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为我公司合法代理人，全权代表我公司办理就</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项目的投标、谈判、签约等具体工作，并签署全部有关的文件、协议及合同。</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我公司对被授权人的签名负全部责任。</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被授权人身份证复印件：</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投标人公章：</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授权人签名：                       职        务：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被授权人签名：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注：投标人法定代表人参加投标的，提供法定代表人证明书和身份证明即可。</w:t>
      </w:r>
    </w:p>
    <w:p>
      <w:pPr>
        <w:spacing w:line="400" w:lineRule="exact"/>
        <w:rPr>
          <w:rFonts w:cs="宋体" w:asciiTheme="minorEastAsia" w:hAnsiTheme="minorEastAsia" w:eastAsiaTheme="minorEastAsia"/>
          <w:kern w:val="0"/>
          <w:sz w:val="24"/>
          <w:szCs w:val="24"/>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
    <w:p/>
    <w:p/>
    <w:p/>
    <w:p/>
    <w:p/>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p>
      <w:pPr>
        <w:snapToGrid w:val="0"/>
        <w:spacing w:before="50" w:after="50"/>
        <w:rPr>
          <w:rFonts w:ascii="宋体" w:hAnsi="宋体"/>
          <w:sz w:val="24"/>
          <w:szCs w:val="24"/>
        </w:rPr>
      </w:pP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47"/>
        <w:gridCol w:w="856"/>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纯水系统维护保养</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年</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ind w:right="-817" w:rightChars="-389"/>
        <w:rPr>
          <w:rFonts w:hint="eastAsia" w:ascii="宋体" w:hAnsi="宋体" w:eastAsia="宋体"/>
          <w:sz w:val="24"/>
          <w:szCs w:val="24"/>
          <w:lang w:eastAsia="zh-CN"/>
        </w:rPr>
      </w:pPr>
      <w:r>
        <w:rPr>
          <w:rFonts w:hint="eastAsia" w:ascii="宋体" w:hAnsi="宋体"/>
          <w:sz w:val="24"/>
          <w:szCs w:val="24"/>
          <w:lang w:val="en-US" w:eastAsia="zh-CN"/>
        </w:rPr>
        <w:t xml:space="preserve"> </w:t>
      </w: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right="-817" w:rightChars="-389"/>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jc w:val="left"/>
      </w:pPr>
    </w:p>
    <w:sectPr>
      <w:headerReference r:id="rId3" w:type="default"/>
      <w:footerReference r:id="rId4" w:type="default"/>
      <w:pgSz w:w="11906" w:h="16838"/>
      <w:pgMar w:top="1134" w:right="1247" w:bottom="1134" w:left="1247"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826923"/>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BFD67"/>
    <w:multiLevelType w:val="singleLevel"/>
    <w:tmpl w:val="C71BFD67"/>
    <w:lvl w:ilvl="0" w:tentative="0">
      <w:start w:val="2"/>
      <w:numFmt w:val="chineseCounting"/>
      <w:suff w:val="space"/>
      <w:lvlText w:val="第%1章"/>
      <w:lvlJc w:val="left"/>
      <w:rPr>
        <w:rFonts w:hint="eastAsia"/>
      </w:rPr>
    </w:lvl>
  </w:abstractNum>
  <w:abstractNum w:abstractNumId="1">
    <w:nsid w:val="108E4A33"/>
    <w:multiLevelType w:val="multilevel"/>
    <w:tmpl w:val="108E4A3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8CDADC8"/>
    <w:multiLevelType w:val="singleLevel"/>
    <w:tmpl w:val="38CDADC8"/>
    <w:lvl w:ilvl="0" w:tentative="0">
      <w:start w:val="1"/>
      <w:numFmt w:val="chineseCounting"/>
      <w:suff w:val="nothing"/>
      <w:lvlText w:val="%1、"/>
      <w:lvlJc w:val="left"/>
      <w:rPr>
        <w:rFonts w:hint="eastAsia"/>
      </w:rPr>
    </w:lvl>
  </w:abstractNum>
  <w:abstractNum w:abstractNumId="3">
    <w:nsid w:val="53EC8E58"/>
    <w:multiLevelType w:val="singleLevel"/>
    <w:tmpl w:val="53EC8E5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28"/>
    <w:rsid w:val="00000FDD"/>
    <w:rsid w:val="000010E8"/>
    <w:rsid w:val="0000408C"/>
    <w:rsid w:val="0001006D"/>
    <w:rsid w:val="0001099C"/>
    <w:rsid w:val="0001345D"/>
    <w:rsid w:val="00014DC3"/>
    <w:rsid w:val="000222D3"/>
    <w:rsid w:val="000235EF"/>
    <w:rsid w:val="00026F26"/>
    <w:rsid w:val="00031A31"/>
    <w:rsid w:val="00033FBA"/>
    <w:rsid w:val="00034DB8"/>
    <w:rsid w:val="0003785E"/>
    <w:rsid w:val="000432ED"/>
    <w:rsid w:val="00043762"/>
    <w:rsid w:val="00044D2E"/>
    <w:rsid w:val="00047C73"/>
    <w:rsid w:val="0005057F"/>
    <w:rsid w:val="000554BD"/>
    <w:rsid w:val="00055AE2"/>
    <w:rsid w:val="0005631A"/>
    <w:rsid w:val="000575BE"/>
    <w:rsid w:val="00060069"/>
    <w:rsid w:val="0006631C"/>
    <w:rsid w:val="00073453"/>
    <w:rsid w:val="00074508"/>
    <w:rsid w:val="000747B8"/>
    <w:rsid w:val="000753F6"/>
    <w:rsid w:val="0007758F"/>
    <w:rsid w:val="00083D64"/>
    <w:rsid w:val="000867A4"/>
    <w:rsid w:val="00086CAA"/>
    <w:rsid w:val="000874D1"/>
    <w:rsid w:val="00090006"/>
    <w:rsid w:val="00091549"/>
    <w:rsid w:val="00096771"/>
    <w:rsid w:val="000A3965"/>
    <w:rsid w:val="000A62C2"/>
    <w:rsid w:val="000B0F2D"/>
    <w:rsid w:val="000B1B46"/>
    <w:rsid w:val="000B2173"/>
    <w:rsid w:val="000B55A0"/>
    <w:rsid w:val="000B697E"/>
    <w:rsid w:val="000B6FF1"/>
    <w:rsid w:val="000C072A"/>
    <w:rsid w:val="000C328E"/>
    <w:rsid w:val="000C61AC"/>
    <w:rsid w:val="000D1BCC"/>
    <w:rsid w:val="000D35AF"/>
    <w:rsid w:val="000D4989"/>
    <w:rsid w:val="000D71C1"/>
    <w:rsid w:val="000E1450"/>
    <w:rsid w:val="000E35D7"/>
    <w:rsid w:val="000E378F"/>
    <w:rsid w:val="000E5EA2"/>
    <w:rsid w:val="000E6EFC"/>
    <w:rsid w:val="000E6F4C"/>
    <w:rsid w:val="000F61AB"/>
    <w:rsid w:val="00100DEB"/>
    <w:rsid w:val="00100F1D"/>
    <w:rsid w:val="00101A73"/>
    <w:rsid w:val="001050F9"/>
    <w:rsid w:val="00105FD5"/>
    <w:rsid w:val="00107EBB"/>
    <w:rsid w:val="00110D6E"/>
    <w:rsid w:val="001155BB"/>
    <w:rsid w:val="00115999"/>
    <w:rsid w:val="00123DF6"/>
    <w:rsid w:val="001335EB"/>
    <w:rsid w:val="00133606"/>
    <w:rsid w:val="00134CD7"/>
    <w:rsid w:val="00134F43"/>
    <w:rsid w:val="001358C6"/>
    <w:rsid w:val="0013797F"/>
    <w:rsid w:val="001427E4"/>
    <w:rsid w:val="00143659"/>
    <w:rsid w:val="001466F3"/>
    <w:rsid w:val="00147AAE"/>
    <w:rsid w:val="00147E50"/>
    <w:rsid w:val="001515EC"/>
    <w:rsid w:val="00152C64"/>
    <w:rsid w:val="00155C75"/>
    <w:rsid w:val="00156066"/>
    <w:rsid w:val="0015651D"/>
    <w:rsid w:val="00157C48"/>
    <w:rsid w:val="0016269C"/>
    <w:rsid w:val="001627FD"/>
    <w:rsid w:val="00163FB1"/>
    <w:rsid w:val="001666E7"/>
    <w:rsid w:val="00166916"/>
    <w:rsid w:val="0016758D"/>
    <w:rsid w:val="00170BFA"/>
    <w:rsid w:val="001733B2"/>
    <w:rsid w:val="00176C0F"/>
    <w:rsid w:val="00185186"/>
    <w:rsid w:val="0018617C"/>
    <w:rsid w:val="00190BB5"/>
    <w:rsid w:val="00191923"/>
    <w:rsid w:val="00192353"/>
    <w:rsid w:val="00192396"/>
    <w:rsid w:val="00192A91"/>
    <w:rsid w:val="0019795E"/>
    <w:rsid w:val="001A537E"/>
    <w:rsid w:val="001A7C12"/>
    <w:rsid w:val="001B431F"/>
    <w:rsid w:val="001C2847"/>
    <w:rsid w:val="001C2D1F"/>
    <w:rsid w:val="001C36D7"/>
    <w:rsid w:val="001C4AF2"/>
    <w:rsid w:val="001D444B"/>
    <w:rsid w:val="001E12C5"/>
    <w:rsid w:val="001E73B5"/>
    <w:rsid w:val="001E79B1"/>
    <w:rsid w:val="001F03D4"/>
    <w:rsid w:val="001F3150"/>
    <w:rsid w:val="001F3405"/>
    <w:rsid w:val="001F3ED1"/>
    <w:rsid w:val="001F4220"/>
    <w:rsid w:val="00200C45"/>
    <w:rsid w:val="00201814"/>
    <w:rsid w:val="002044E0"/>
    <w:rsid w:val="002052AA"/>
    <w:rsid w:val="00207192"/>
    <w:rsid w:val="00210F39"/>
    <w:rsid w:val="002115F0"/>
    <w:rsid w:val="0021198E"/>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60285"/>
    <w:rsid w:val="00273967"/>
    <w:rsid w:val="00275CCF"/>
    <w:rsid w:val="002766EE"/>
    <w:rsid w:val="00276C18"/>
    <w:rsid w:val="00276D54"/>
    <w:rsid w:val="00277FFC"/>
    <w:rsid w:val="002848A8"/>
    <w:rsid w:val="00284B87"/>
    <w:rsid w:val="00285220"/>
    <w:rsid w:val="00285A7A"/>
    <w:rsid w:val="00287C7F"/>
    <w:rsid w:val="002924F6"/>
    <w:rsid w:val="00294FBF"/>
    <w:rsid w:val="002964EF"/>
    <w:rsid w:val="002A1BD1"/>
    <w:rsid w:val="002A3D24"/>
    <w:rsid w:val="002B0A35"/>
    <w:rsid w:val="002B1703"/>
    <w:rsid w:val="002B346E"/>
    <w:rsid w:val="002B3775"/>
    <w:rsid w:val="002C1C3A"/>
    <w:rsid w:val="002C1C47"/>
    <w:rsid w:val="002C3DC4"/>
    <w:rsid w:val="002C685F"/>
    <w:rsid w:val="002D1BD3"/>
    <w:rsid w:val="002D410B"/>
    <w:rsid w:val="002D5593"/>
    <w:rsid w:val="002D7D0F"/>
    <w:rsid w:val="002E09A9"/>
    <w:rsid w:val="002E14B4"/>
    <w:rsid w:val="002E1D91"/>
    <w:rsid w:val="002E20E2"/>
    <w:rsid w:val="002E3D60"/>
    <w:rsid w:val="002E3EE7"/>
    <w:rsid w:val="002E40D2"/>
    <w:rsid w:val="002F0C11"/>
    <w:rsid w:val="002F1230"/>
    <w:rsid w:val="002F24AB"/>
    <w:rsid w:val="002F6841"/>
    <w:rsid w:val="002F6B3B"/>
    <w:rsid w:val="00304404"/>
    <w:rsid w:val="00304437"/>
    <w:rsid w:val="00310D45"/>
    <w:rsid w:val="00311C70"/>
    <w:rsid w:val="00311D90"/>
    <w:rsid w:val="003125DF"/>
    <w:rsid w:val="00313385"/>
    <w:rsid w:val="00316D6B"/>
    <w:rsid w:val="00320504"/>
    <w:rsid w:val="0032742D"/>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511"/>
    <w:rsid w:val="003627C2"/>
    <w:rsid w:val="003635EC"/>
    <w:rsid w:val="0036447E"/>
    <w:rsid w:val="00364642"/>
    <w:rsid w:val="00373454"/>
    <w:rsid w:val="00377EFB"/>
    <w:rsid w:val="00382D2D"/>
    <w:rsid w:val="00384E7A"/>
    <w:rsid w:val="00385A71"/>
    <w:rsid w:val="0039133C"/>
    <w:rsid w:val="003A1521"/>
    <w:rsid w:val="003A2C83"/>
    <w:rsid w:val="003A6A22"/>
    <w:rsid w:val="003B50A9"/>
    <w:rsid w:val="003B55CF"/>
    <w:rsid w:val="003B77EB"/>
    <w:rsid w:val="003B7BC0"/>
    <w:rsid w:val="003E0FD0"/>
    <w:rsid w:val="003E1C1C"/>
    <w:rsid w:val="003E384F"/>
    <w:rsid w:val="003E4F22"/>
    <w:rsid w:val="003F22BA"/>
    <w:rsid w:val="003F388B"/>
    <w:rsid w:val="003F7158"/>
    <w:rsid w:val="004008BF"/>
    <w:rsid w:val="0040152F"/>
    <w:rsid w:val="004063FB"/>
    <w:rsid w:val="004079EE"/>
    <w:rsid w:val="0041214E"/>
    <w:rsid w:val="0041315B"/>
    <w:rsid w:val="004135E8"/>
    <w:rsid w:val="00415002"/>
    <w:rsid w:val="0041550C"/>
    <w:rsid w:val="0043027E"/>
    <w:rsid w:val="004334C4"/>
    <w:rsid w:val="00433D27"/>
    <w:rsid w:val="00435007"/>
    <w:rsid w:val="00436559"/>
    <w:rsid w:val="00441645"/>
    <w:rsid w:val="00443ACA"/>
    <w:rsid w:val="00447370"/>
    <w:rsid w:val="0044784C"/>
    <w:rsid w:val="00451E75"/>
    <w:rsid w:val="00453042"/>
    <w:rsid w:val="004541A9"/>
    <w:rsid w:val="00456492"/>
    <w:rsid w:val="00460149"/>
    <w:rsid w:val="00462FFD"/>
    <w:rsid w:val="0046340E"/>
    <w:rsid w:val="004645AE"/>
    <w:rsid w:val="004677DE"/>
    <w:rsid w:val="00480BD1"/>
    <w:rsid w:val="00483C7A"/>
    <w:rsid w:val="00486CA3"/>
    <w:rsid w:val="00490F3C"/>
    <w:rsid w:val="00491A6D"/>
    <w:rsid w:val="0049677F"/>
    <w:rsid w:val="004A3424"/>
    <w:rsid w:val="004A36F6"/>
    <w:rsid w:val="004A7539"/>
    <w:rsid w:val="004B0F09"/>
    <w:rsid w:val="004B181D"/>
    <w:rsid w:val="004B2F32"/>
    <w:rsid w:val="004B56F1"/>
    <w:rsid w:val="004B6B41"/>
    <w:rsid w:val="004C0396"/>
    <w:rsid w:val="004C1FA1"/>
    <w:rsid w:val="004C3029"/>
    <w:rsid w:val="004C335E"/>
    <w:rsid w:val="004C5738"/>
    <w:rsid w:val="004C6AD2"/>
    <w:rsid w:val="004C7DA9"/>
    <w:rsid w:val="004D3015"/>
    <w:rsid w:val="004D3F16"/>
    <w:rsid w:val="004D4FAA"/>
    <w:rsid w:val="004D7E75"/>
    <w:rsid w:val="004E3FAE"/>
    <w:rsid w:val="004E7BD5"/>
    <w:rsid w:val="004E7CFB"/>
    <w:rsid w:val="004F008F"/>
    <w:rsid w:val="004F1F83"/>
    <w:rsid w:val="004F3852"/>
    <w:rsid w:val="004F582D"/>
    <w:rsid w:val="004F6881"/>
    <w:rsid w:val="00500C09"/>
    <w:rsid w:val="00501295"/>
    <w:rsid w:val="00502BFF"/>
    <w:rsid w:val="00504228"/>
    <w:rsid w:val="005043E2"/>
    <w:rsid w:val="00504B95"/>
    <w:rsid w:val="00510001"/>
    <w:rsid w:val="00513228"/>
    <w:rsid w:val="00515131"/>
    <w:rsid w:val="005163FA"/>
    <w:rsid w:val="005213D9"/>
    <w:rsid w:val="00522A83"/>
    <w:rsid w:val="00525000"/>
    <w:rsid w:val="005254B2"/>
    <w:rsid w:val="00527FA4"/>
    <w:rsid w:val="005337ED"/>
    <w:rsid w:val="00537C17"/>
    <w:rsid w:val="00546F1A"/>
    <w:rsid w:val="005507F0"/>
    <w:rsid w:val="00550C3A"/>
    <w:rsid w:val="00553F90"/>
    <w:rsid w:val="00554C7C"/>
    <w:rsid w:val="00562D93"/>
    <w:rsid w:val="00563963"/>
    <w:rsid w:val="005661D4"/>
    <w:rsid w:val="00566ABB"/>
    <w:rsid w:val="005670E9"/>
    <w:rsid w:val="005708CC"/>
    <w:rsid w:val="0057370A"/>
    <w:rsid w:val="0057558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32C6"/>
    <w:rsid w:val="005E0EE6"/>
    <w:rsid w:val="005E2D68"/>
    <w:rsid w:val="005E7396"/>
    <w:rsid w:val="005F2E8A"/>
    <w:rsid w:val="005F74CB"/>
    <w:rsid w:val="006035F5"/>
    <w:rsid w:val="00604C71"/>
    <w:rsid w:val="00612DEE"/>
    <w:rsid w:val="00617354"/>
    <w:rsid w:val="00622125"/>
    <w:rsid w:val="00624409"/>
    <w:rsid w:val="00631C2F"/>
    <w:rsid w:val="0063356B"/>
    <w:rsid w:val="00652305"/>
    <w:rsid w:val="006527D0"/>
    <w:rsid w:val="0065569B"/>
    <w:rsid w:val="0066063B"/>
    <w:rsid w:val="00665B3D"/>
    <w:rsid w:val="00681EEE"/>
    <w:rsid w:val="00683F9D"/>
    <w:rsid w:val="006879E3"/>
    <w:rsid w:val="0069060B"/>
    <w:rsid w:val="00693818"/>
    <w:rsid w:val="00694C23"/>
    <w:rsid w:val="0069602E"/>
    <w:rsid w:val="006A16F4"/>
    <w:rsid w:val="006A2DF2"/>
    <w:rsid w:val="006A57B3"/>
    <w:rsid w:val="006A6433"/>
    <w:rsid w:val="006B0940"/>
    <w:rsid w:val="006B171F"/>
    <w:rsid w:val="006B52E3"/>
    <w:rsid w:val="006B5475"/>
    <w:rsid w:val="006B5F12"/>
    <w:rsid w:val="006C281D"/>
    <w:rsid w:val="006C2FB7"/>
    <w:rsid w:val="006C57B1"/>
    <w:rsid w:val="006D2968"/>
    <w:rsid w:val="006D484F"/>
    <w:rsid w:val="006E2BE7"/>
    <w:rsid w:val="006E4BE3"/>
    <w:rsid w:val="006E719C"/>
    <w:rsid w:val="006F2488"/>
    <w:rsid w:val="006F2A18"/>
    <w:rsid w:val="006F5668"/>
    <w:rsid w:val="007047C6"/>
    <w:rsid w:val="0070669A"/>
    <w:rsid w:val="00707F78"/>
    <w:rsid w:val="00711667"/>
    <w:rsid w:val="0071354E"/>
    <w:rsid w:val="00715E15"/>
    <w:rsid w:val="00722582"/>
    <w:rsid w:val="007254DE"/>
    <w:rsid w:val="00725732"/>
    <w:rsid w:val="00727BF4"/>
    <w:rsid w:val="00732AC4"/>
    <w:rsid w:val="007344A9"/>
    <w:rsid w:val="00736BBF"/>
    <w:rsid w:val="00737002"/>
    <w:rsid w:val="00737925"/>
    <w:rsid w:val="0074150D"/>
    <w:rsid w:val="00742B7C"/>
    <w:rsid w:val="00743FBD"/>
    <w:rsid w:val="0074510A"/>
    <w:rsid w:val="00756B16"/>
    <w:rsid w:val="00762838"/>
    <w:rsid w:val="00764C2C"/>
    <w:rsid w:val="00766C43"/>
    <w:rsid w:val="00767C4F"/>
    <w:rsid w:val="00770459"/>
    <w:rsid w:val="007719D3"/>
    <w:rsid w:val="007739F9"/>
    <w:rsid w:val="00776027"/>
    <w:rsid w:val="00777BB5"/>
    <w:rsid w:val="00780B7B"/>
    <w:rsid w:val="00782A19"/>
    <w:rsid w:val="007838CA"/>
    <w:rsid w:val="007845FF"/>
    <w:rsid w:val="00785208"/>
    <w:rsid w:val="00785222"/>
    <w:rsid w:val="007879DC"/>
    <w:rsid w:val="00791CA1"/>
    <w:rsid w:val="00792808"/>
    <w:rsid w:val="0079658B"/>
    <w:rsid w:val="00796FBA"/>
    <w:rsid w:val="007A0518"/>
    <w:rsid w:val="007A2DF5"/>
    <w:rsid w:val="007A4D37"/>
    <w:rsid w:val="007A5D68"/>
    <w:rsid w:val="007A6A4B"/>
    <w:rsid w:val="007B15D0"/>
    <w:rsid w:val="007B23A5"/>
    <w:rsid w:val="007B39A3"/>
    <w:rsid w:val="007C09E8"/>
    <w:rsid w:val="007C4076"/>
    <w:rsid w:val="007C5748"/>
    <w:rsid w:val="007C7D4F"/>
    <w:rsid w:val="007D1378"/>
    <w:rsid w:val="007D2271"/>
    <w:rsid w:val="007D2540"/>
    <w:rsid w:val="007D5BAD"/>
    <w:rsid w:val="007D6D61"/>
    <w:rsid w:val="007D74FB"/>
    <w:rsid w:val="007E058F"/>
    <w:rsid w:val="007E206E"/>
    <w:rsid w:val="007E3813"/>
    <w:rsid w:val="007E76D3"/>
    <w:rsid w:val="007F6D5F"/>
    <w:rsid w:val="00801CD0"/>
    <w:rsid w:val="0080231E"/>
    <w:rsid w:val="008042E0"/>
    <w:rsid w:val="0080539B"/>
    <w:rsid w:val="00806906"/>
    <w:rsid w:val="0081087F"/>
    <w:rsid w:val="00812A99"/>
    <w:rsid w:val="008148A7"/>
    <w:rsid w:val="00816DD4"/>
    <w:rsid w:val="00820688"/>
    <w:rsid w:val="00821741"/>
    <w:rsid w:val="00833FDD"/>
    <w:rsid w:val="00836880"/>
    <w:rsid w:val="0083746C"/>
    <w:rsid w:val="0083767D"/>
    <w:rsid w:val="008421C3"/>
    <w:rsid w:val="008454EC"/>
    <w:rsid w:val="00850CA6"/>
    <w:rsid w:val="008510C5"/>
    <w:rsid w:val="00864853"/>
    <w:rsid w:val="00864E68"/>
    <w:rsid w:val="00865AFE"/>
    <w:rsid w:val="00866D84"/>
    <w:rsid w:val="00867BE2"/>
    <w:rsid w:val="008712F5"/>
    <w:rsid w:val="008713BD"/>
    <w:rsid w:val="0087359E"/>
    <w:rsid w:val="00875421"/>
    <w:rsid w:val="00875A70"/>
    <w:rsid w:val="008849BE"/>
    <w:rsid w:val="00886957"/>
    <w:rsid w:val="00887737"/>
    <w:rsid w:val="008908C3"/>
    <w:rsid w:val="0089173B"/>
    <w:rsid w:val="00892BA5"/>
    <w:rsid w:val="008937C5"/>
    <w:rsid w:val="008958F2"/>
    <w:rsid w:val="00896EBB"/>
    <w:rsid w:val="008975AD"/>
    <w:rsid w:val="008A240E"/>
    <w:rsid w:val="008A25FD"/>
    <w:rsid w:val="008A59A5"/>
    <w:rsid w:val="008B2CF4"/>
    <w:rsid w:val="008B479E"/>
    <w:rsid w:val="008B685A"/>
    <w:rsid w:val="008C19E1"/>
    <w:rsid w:val="008C6E2B"/>
    <w:rsid w:val="008D0C3B"/>
    <w:rsid w:val="008D3C36"/>
    <w:rsid w:val="008E07C9"/>
    <w:rsid w:val="008E0F79"/>
    <w:rsid w:val="008E2525"/>
    <w:rsid w:val="008E3CFF"/>
    <w:rsid w:val="008E7321"/>
    <w:rsid w:val="008F22B0"/>
    <w:rsid w:val="008F252F"/>
    <w:rsid w:val="008F2A09"/>
    <w:rsid w:val="008F53FE"/>
    <w:rsid w:val="008F7655"/>
    <w:rsid w:val="008F7858"/>
    <w:rsid w:val="008F7D9F"/>
    <w:rsid w:val="0090015C"/>
    <w:rsid w:val="009013FB"/>
    <w:rsid w:val="00902499"/>
    <w:rsid w:val="009037C2"/>
    <w:rsid w:val="00904A30"/>
    <w:rsid w:val="00906B34"/>
    <w:rsid w:val="009147F8"/>
    <w:rsid w:val="00917BF0"/>
    <w:rsid w:val="00923DB8"/>
    <w:rsid w:val="009263FB"/>
    <w:rsid w:val="009372D2"/>
    <w:rsid w:val="00942565"/>
    <w:rsid w:val="009445FB"/>
    <w:rsid w:val="00944CD3"/>
    <w:rsid w:val="00947DF2"/>
    <w:rsid w:val="00951913"/>
    <w:rsid w:val="00952AFA"/>
    <w:rsid w:val="00953C31"/>
    <w:rsid w:val="0095439A"/>
    <w:rsid w:val="00955065"/>
    <w:rsid w:val="00960020"/>
    <w:rsid w:val="009610BB"/>
    <w:rsid w:val="00962F27"/>
    <w:rsid w:val="009724F3"/>
    <w:rsid w:val="00972BE2"/>
    <w:rsid w:val="009755A9"/>
    <w:rsid w:val="009816BC"/>
    <w:rsid w:val="0098170B"/>
    <w:rsid w:val="00983CD1"/>
    <w:rsid w:val="009917B4"/>
    <w:rsid w:val="009A45FB"/>
    <w:rsid w:val="009A4A78"/>
    <w:rsid w:val="009B34FE"/>
    <w:rsid w:val="009B3C81"/>
    <w:rsid w:val="009B3FF2"/>
    <w:rsid w:val="009B417B"/>
    <w:rsid w:val="009C1AA8"/>
    <w:rsid w:val="009C315A"/>
    <w:rsid w:val="009D060E"/>
    <w:rsid w:val="009D1C9D"/>
    <w:rsid w:val="009D20AE"/>
    <w:rsid w:val="009D53FD"/>
    <w:rsid w:val="009D6861"/>
    <w:rsid w:val="009E2EB7"/>
    <w:rsid w:val="009E32BD"/>
    <w:rsid w:val="009E6657"/>
    <w:rsid w:val="009F362B"/>
    <w:rsid w:val="009F38D0"/>
    <w:rsid w:val="009F550D"/>
    <w:rsid w:val="009F6645"/>
    <w:rsid w:val="00A03903"/>
    <w:rsid w:val="00A10F67"/>
    <w:rsid w:val="00A14E91"/>
    <w:rsid w:val="00A16741"/>
    <w:rsid w:val="00A176A1"/>
    <w:rsid w:val="00A17B23"/>
    <w:rsid w:val="00A17D84"/>
    <w:rsid w:val="00A20161"/>
    <w:rsid w:val="00A205C8"/>
    <w:rsid w:val="00A310AD"/>
    <w:rsid w:val="00A32892"/>
    <w:rsid w:val="00A439B7"/>
    <w:rsid w:val="00A44783"/>
    <w:rsid w:val="00A44B27"/>
    <w:rsid w:val="00A52BA9"/>
    <w:rsid w:val="00A575B9"/>
    <w:rsid w:val="00A6494F"/>
    <w:rsid w:val="00A64E41"/>
    <w:rsid w:val="00A66895"/>
    <w:rsid w:val="00A67B4E"/>
    <w:rsid w:val="00A7760A"/>
    <w:rsid w:val="00A82E39"/>
    <w:rsid w:val="00A863E3"/>
    <w:rsid w:val="00A866DA"/>
    <w:rsid w:val="00A87769"/>
    <w:rsid w:val="00A87D8A"/>
    <w:rsid w:val="00A93D32"/>
    <w:rsid w:val="00AA289B"/>
    <w:rsid w:val="00AA34B8"/>
    <w:rsid w:val="00AA37CA"/>
    <w:rsid w:val="00AA4A98"/>
    <w:rsid w:val="00AB314A"/>
    <w:rsid w:val="00AB527C"/>
    <w:rsid w:val="00AB5D50"/>
    <w:rsid w:val="00AB709F"/>
    <w:rsid w:val="00AC038C"/>
    <w:rsid w:val="00AD0103"/>
    <w:rsid w:val="00AD0313"/>
    <w:rsid w:val="00AD3ABF"/>
    <w:rsid w:val="00AD5A6A"/>
    <w:rsid w:val="00AD66C4"/>
    <w:rsid w:val="00AE1141"/>
    <w:rsid w:val="00AE1A4F"/>
    <w:rsid w:val="00AE63DD"/>
    <w:rsid w:val="00AF1C7A"/>
    <w:rsid w:val="00AF5213"/>
    <w:rsid w:val="00AF5706"/>
    <w:rsid w:val="00AF6F0E"/>
    <w:rsid w:val="00B02C50"/>
    <w:rsid w:val="00B02D22"/>
    <w:rsid w:val="00B032E4"/>
    <w:rsid w:val="00B0476E"/>
    <w:rsid w:val="00B11DAA"/>
    <w:rsid w:val="00B1253B"/>
    <w:rsid w:val="00B224A9"/>
    <w:rsid w:val="00B239D3"/>
    <w:rsid w:val="00B2660E"/>
    <w:rsid w:val="00B32E4E"/>
    <w:rsid w:val="00B3705B"/>
    <w:rsid w:val="00B41026"/>
    <w:rsid w:val="00B4301E"/>
    <w:rsid w:val="00B43659"/>
    <w:rsid w:val="00B45B1F"/>
    <w:rsid w:val="00B45B95"/>
    <w:rsid w:val="00B511F5"/>
    <w:rsid w:val="00B55AD6"/>
    <w:rsid w:val="00B567CA"/>
    <w:rsid w:val="00B62B9F"/>
    <w:rsid w:val="00B63F90"/>
    <w:rsid w:val="00B64137"/>
    <w:rsid w:val="00B7428C"/>
    <w:rsid w:val="00B75EF4"/>
    <w:rsid w:val="00B85E4A"/>
    <w:rsid w:val="00B87E48"/>
    <w:rsid w:val="00B92406"/>
    <w:rsid w:val="00B92FD5"/>
    <w:rsid w:val="00B93185"/>
    <w:rsid w:val="00B9389E"/>
    <w:rsid w:val="00B94B93"/>
    <w:rsid w:val="00BA2DD1"/>
    <w:rsid w:val="00BA2E17"/>
    <w:rsid w:val="00BA36AA"/>
    <w:rsid w:val="00BB61B8"/>
    <w:rsid w:val="00BB697F"/>
    <w:rsid w:val="00BC0943"/>
    <w:rsid w:val="00BC129B"/>
    <w:rsid w:val="00BC4586"/>
    <w:rsid w:val="00BD05B5"/>
    <w:rsid w:val="00BD3A19"/>
    <w:rsid w:val="00BD4074"/>
    <w:rsid w:val="00BD57B8"/>
    <w:rsid w:val="00BE1346"/>
    <w:rsid w:val="00BE1C1E"/>
    <w:rsid w:val="00BE1CE2"/>
    <w:rsid w:val="00BE432E"/>
    <w:rsid w:val="00BE4BA6"/>
    <w:rsid w:val="00BE5A51"/>
    <w:rsid w:val="00BE71D6"/>
    <w:rsid w:val="00BF03FA"/>
    <w:rsid w:val="00BF29C4"/>
    <w:rsid w:val="00BF3E93"/>
    <w:rsid w:val="00BF5997"/>
    <w:rsid w:val="00C015A9"/>
    <w:rsid w:val="00C01E5D"/>
    <w:rsid w:val="00C0546F"/>
    <w:rsid w:val="00C12A81"/>
    <w:rsid w:val="00C20FF1"/>
    <w:rsid w:val="00C2367C"/>
    <w:rsid w:val="00C33692"/>
    <w:rsid w:val="00C35EE4"/>
    <w:rsid w:val="00C41810"/>
    <w:rsid w:val="00C479D1"/>
    <w:rsid w:val="00C52406"/>
    <w:rsid w:val="00C53AAB"/>
    <w:rsid w:val="00C53C9F"/>
    <w:rsid w:val="00C55239"/>
    <w:rsid w:val="00C56B66"/>
    <w:rsid w:val="00C577D2"/>
    <w:rsid w:val="00C673B6"/>
    <w:rsid w:val="00C70D40"/>
    <w:rsid w:val="00C71CD9"/>
    <w:rsid w:val="00C743D1"/>
    <w:rsid w:val="00C74805"/>
    <w:rsid w:val="00C77EE8"/>
    <w:rsid w:val="00C8219F"/>
    <w:rsid w:val="00C82644"/>
    <w:rsid w:val="00C82E74"/>
    <w:rsid w:val="00C84183"/>
    <w:rsid w:val="00C85188"/>
    <w:rsid w:val="00C87635"/>
    <w:rsid w:val="00C92761"/>
    <w:rsid w:val="00C92FE9"/>
    <w:rsid w:val="00C97534"/>
    <w:rsid w:val="00CA2044"/>
    <w:rsid w:val="00CA3899"/>
    <w:rsid w:val="00CB04E3"/>
    <w:rsid w:val="00CB25C5"/>
    <w:rsid w:val="00CB2F0B"/>
    <w:rsid w:val="00CB626E"/>
    <w:rsid w:val="00CB6AE4"/>
    <w:rsid w:val="00CC09DC"/>
    <w:rsid w:val="00CC2836"/>
    <w:rsid w:val="00CC32D4"/>
    <w:rsid w:val="00CC733C"/>
    <w:rsid w:val="00CD0A48"/>
    <w:rsid w:val="00CD3AA5"/>
    <w:rsid w:val="00CD4012"/>
    <w:rsid w:val="00CD6902"/>
    <w:rsid w:val="00CD72D5"/>
    <w:rsid w:val="00CE0D21"/>
    <w:rsid w:val="00CE14AD"/>
    <w:rsid w:val="00CE1D9F"/>
    <w:rsid w:val="00CE59BF"/>
    <w:rsid w:val="00CE64A5"/>
    <w:rsid w:val="00CF14E0"/>
    <w:rsid w:val="00CF33FE"/>
    <w:rsid w:val="00CF5FDE"/>
    <w:rsid w:val="00CF7FE2"/>
    <w:rsid w:val="00D03EF6"/>
    <w:rsid w:val="00D04BEF"/>
    <w:rsid w:val="00D05E1D"/>
    <w:rsid w:val="00D06FD4"/>
    <w:rsid w:val="00D10C62"/>
    <w:rsid w:val="00D15BD7"/>
    <w:rsid w:val="00D15DDE"/>
    <w:rsid w:val="00D16B58"/>
    <w:rsid w:val="00D204DE"/>
    <w:rsid w:val="00D20B25"/>
    <w:rsid w:val="00D20BF4"/>
    <w:rsid w:val="00D23036"/>
    <w:rsid w:val="00D26F89"/>
    <w:rsid w:val="00D30041"/>
    <w:rsid w:val="00D323EE"/>
    <w:rsid w:val="00D32C82"/>
    <w:rsid w:val="00D46072"/>
    <w:rsid w:val="00D523CF"/>
    <w:rsid w:val="00D61620"/>
    <w:rsid w:val="00D62439"/>
    <w:rsid w:val="00D64BDA"/>
    <w:rsid w:val="00D65ABC"/>
    <w:rsid w:val="00D70255"/>
    <w:rsid w:val="00D708E8"/>
    <w:rsid w:val="00D70A94"/>
    <w:rsid w:val="00D71820"/>
    <w:rsid w:val="00D72184"/>
    <w:rsid w:val="00D73B07"/>
    <w:rsid w:val="00D74ACF"/>
    <w:rsid w:val="00D74E56"/>
    <w:rsid w:val="00D80DDE"/>
    <w:rsid w:val="00D81E43"/>
    <w:rsid w:val="00D827C0"/>
    <w:rsid w:val="00D841B2"/>
    <w:rsid w:val="00D86568"/>
    <w:rsid w:val="00D876ED"/>
    <w:rsid w:val="00D91946"/>
    <w:rsid w:val="00D927C3"/>
    <w:rsid w:val="00D9352E"/>
    <w:rsid w:val="00D937C4"/>
    <w:rsid w:val="00D9475F"/>
    <w:rsid w:val="00DA50F7"/>
    <w:rsid w:val="00DB05C2"/>
    <w:rsid w:val="00DB376F"/>
    <w:rsid w:val="00DC2314"/>
    <w:rsid w:val="00DC7481"/>
    <w:rsid w:val="00DC75E4"/>
    <w:rsid w:val="00DD5600"/>
    <w:rsid w:val="00DD582F"/>
    <w:rsid w:val="00DE046B"/>
    <w:rsid w:val="00DE0C54"/>
    <w:rsid w:val="00DE342E"/>
    <w:rsid w:val="00DF4917"/>
    <w:rsid w:val="00DF56D3"/>
    <w:rsid w:val="00DF6BFA"/>
    <w:rsid w:val="00E019A9"/>
    <w:rsid w:val="00E01EE7"/>
    <w:rsid w:val="00E032AA"/>
    <w:rsid w:val="00E04B7A"/>
    <w:rsid w:val="00E1681C"/>
    <w:rsid w:val="00E23C4B"/>
    <w:rsid w:val="00E269E6"/>
    <w:rsid w:val="00E2744F"/>
    <w:rsid w:val="00E31D4F"/>
    <w:rsid w:val="00E32796"/>
    <w:rsid w:val="00E32C62"/>
    <w:rsid w:val="00E3391A"/>
    <w:rsid w:val="00E3428F"/>
    <w:rsid w:val="00E37555"/>
    <w:rsid w:val="00E37DD5"/>
    <w:rsid w:val="00E41669"/>
    <w:rsid w:val="00E43D33"/>
    <w:rsid w:val="00E443DF"/>
    <w:rsid w:val="00E50C26"/>
    <w:rsid w:val="00E51AA6"/>
    <w:rsid w:val="00E54F9C"/>
    <w:rsid w:val="00E56D62"/>
    <w:rsid w:val="00E6134C"/>
    <w:rsid w:val="00E62268"/>
    <w:rsid w:val="00E63923"/>
    <w:rsid w:val="00E67AF1"/>
    <w:rsid w:val="00E67E46"/>
    <w:rsid w:val="00E85834"/>
    <w:rsid w:val="00E909C4"/>
    <w:rsid w:val="00EA0DAB"/>
    <w:rsid w:val="00EA671E"/>
    <w:rsid w:val="00EA7060"/>
    <w:rsid w:val="00EB02D8"/>
    <w:rsid w:val="00EB240A"/>
    <w:rsid w:val="00EB2638"/>
    <w:rsid w:val="00EB2AEF"/>
    <w:rsid w:val="00EB5AD1"/>
    <w:rsid w:val="00EB62CC"/>
    <w:rsid w:val="00EB6F5A"/>
    <w:rsid w:val="00EC3E53"/>
    <w:rsid w:val="00EC4927"/>
    <w:rsid w:val="00EC4B06"/>
    <w:rsid w:val="00ED08EF"/>
    <w:rsid w:val="00ED1514"/>
    <w:rsid w:val="00ED4423"/>
    <w:rsid w:val="00ED4BA1"/>
    <w:rsid w:val="00ED5C09"/>
    <w:rsid w:val="00ED7C14"/>
    <w:rsid w:val="00EE2153"/>
    <w:rsid w:val="00EE21C9"/>
    <w:rsid w:val="00EE6C1E"/>
    <w:rsid w:val="00EE7BE1"/>
    <w:rsid w:val="00EF2504"/>
    <w:rsid w:val="00EF2580"/>
    <w:rsid w:val="00EF2B55"/>
    <w:rsid w:val="00EF3CAA"/>
    <w:rsid w:val="00EF4ECD"/>
    <w:rsid w:val="00F05EB2"/>
    <w:rsid w:val="00F05FBE"/>
    <w:rsid w:val="00F07DF7"/>
    <w:rsid w:val="00F13056"/>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6388"/>
    <w:rsid w:val="00F67F7F"/>
    <w:rsid w:val="00F71C86"/>
    <w:rsid w:val="00F7215A"/>
    <w:rsid w:val="00F77F0D"/>
    <w:rsid w:val="00F85B58"/>
    <w:rsid w:val="00F86E78"/>
    <w:rsid w:val="00F94211"/>
    <w:rsid w:val="00F96358"/>
    <w:rsid w:val="00F978FE"/>
    <w:rsid w:val="00F97C04"/>
    <w:rsid w:val="00FA3304"/>
    <w:rsid w:val="00FA4549"/>
    <w:rsid w:val="00FA5F61"/>
    <w:rsid w:val="00FB0839"/>
    <w:rsid w:val="00FB0CAB"/>
    <w:rsid w:val="00FB4C05"/>
    <w:rsid w:val="00FB6E7A"/>
    <w:rsid w:val="00FB77A3"/>
    <w:rsid w:val="00FC043D"/>
    <w:rsid w:val="00FC0793"/>
    <w:rsid w:val="00FC2910"/>
    <w:rsid w:val="00FD47B5"/>
    <w:rsid w:val="00FD5551"/>
    <w:rsid w:val="00FD57C2"/>
    <w:rsid w:val="00FD6E22"/>
    <w:rsid w:val="00FE0B50"/>
    <w:rsid w:val="00FE21AF"/>
    <w:rsid w:val="00FE3830"/>
    <w:rsid w:val="00FE47BC"/>
    <w:rsid w:val="00FE5C80"/>
    <w:rsid w:val="00FE7F29"/>
    <w:rsid w:val="00FF456C"/>
    <w:rsid w:val="00FF4C69"/>
    <w:rsid w:val="053869D9"/>
    <w:rsid w:val="12E85C95"/>
    <w:rsid w:val="140115A3"/>
    <w:rsid w:val="1B592166"/>
    <w:rsid w:val="1BE34104"/>
    <w:rsid w:val="1DC30E0C"/>
    <w:rsid w:val="2A174F55"/>
    <w:rsid w:val="2B3E6017"/>
    <w:rsid w:val="31A80382"/>
    <w:rsid w:val="3A586F88"/>
    <w:rsid w:val="423204BD"/>
    <w:rsid w:val="4B5136CE"/>
    <w:rsid w:val="4EF22586"/>
    <w:rsid w:val="62673236"/>
    <w:rsid w:val="6C9146A5"/>
    <w:rsid w:val="7B71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4">
    <w:name w:val="Normal Indent"/>
    <w:basedOn w:val="1"/>
    <w:qFormat/>
    <w:uiPriority w:val="0"/>
    <w:pPr>
      <w:ind w:firstLine="420"/>
    </w:pPr>
    <w:rPr>
      <w:rFonts w:eastAsia="仿宋_GB2312"/>
      <w:sz w:val="32"/>
    </w:rPr>
  </w:style>
  <w:style w:type="paragraph" w:styleId="5">
    <w:name w:val="Body Text"/>
    <w:basedOn w:val="1"/>
    <w:link w:val="102"/>
    <w:semiHidden/>
    <w:unhideWhenUsed/>
    <w:qFormat/>
    <w:uiPriority w:val="99"/>
    <w:pPr>
      <w:spacing w:after="120"/>
    </w:pPr>
  </w:style>
  <w:style w:type="paragraph" w:styleId="6">
    <w:name w:val="Plain Text"/>
    <w:basedOn w:val="1"/>
    <w:next w:val="1"/>
    <w:link w:val="23"/>
    <w:unhideWhenUsed/>
    <w:qFormat/>
    <w:uiPriority w:val="0"/>
    <w:rPr>
      <w:rFonts w:ascii="宋体" w:hAnsi="Courier New" w:cs="Courier New"/>
      <w:szCs w:val="21"/>
    </w:rPr>
  </w:style>
  <w:style w:type="paragraph" w:styleId="7">
    <w:name w:val="Date"/>
    <w:basedOn w:val="1"/>
    <w:next w:val="1"/>
    <w:link w:val="28"/>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5"/>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4"/>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2"/>
    <w:unhideWhenUsed/>
    <w:qFormat/>
    <w:uiPriority w:val="99"/>
    <w:rPr>
      <w:rFonts w:ascii="Courier New" w:hAnsi="Courier New" w:cs="Courier New" w:eastAsiaTheme="minorEastAsia"/>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u w:val="single"/>
    </w:rPr>
  </w:style>
  <w:style w:type="character" w:customStyle="1" w:styleId="20">
    <w:name w:val="页眉 Char"/>
    <w:basedOn w:val="16"/>
    <w:link w:val="11"/>
    <w:qFormat/>
    <w:uiPriority w:val="99"/>
    <w:rPr>
      <w:sz w:val="18"/>
      <w:szCs w:val="18"/>
    </w:rPr>
  </w:style>
  <w:style w:type="character" w:customStyle="1" w:styleId="21">
    <w:name w:val="页脚 Char"/>
    <w:basedOn w:val="16"/>
    <w:link w:val="10"/>
    <w:qFormat/>
    <w:uiPriority w:val="99"/>
    <w:rPr>
      <w:sz w:val="18"/>
      <w:szCs w:val="18"/>
    </w:rPr>
  </w:style>
  <w:style w:type="character" w:customStyle="1" w:styleId="22">
    <w:name w:val="HTML 预设格式 Char"/>
    <w:link w:val="12"/>
    <w:qFormat/>
    <w:uiPriority w:val="99"/>
    <w:rPr>
      <w:rFonts w:ascii="Courier New" w:hAnsi="Courier New" w:cs="Courier New"/>
    </w:rPr>
  </w:style>
  <w:style w:type="character" w:customStyle="1" w:styleId="23">
    <w:name w:val="纯文本 Char"/>
    <w:basedOn w:val="16"/>
    <w:link w:val="6"/>
    <w:qFormat/>
    <w:uiPriority w:val="0"/>
    <w:rPr>
      <w:rFonts w:ascii="宋体" w:hAnsi="Courier New" w:eastAsia="宋体" w:cs="Courier New"/>
      <w:szCs w:val="21"/>
    </w:rPr>
  </w:style>
  <w:style w:type="character" w:customStyle="1" w:styleId="24">
    <w:name w:val="HTML 预设格式 Char1"/>
    <w:basedOn w:val="16"/>
    <w:semiHidden/>
    <w:qFormat/>
    <w:uiPriority w:val="99"/>
    <w:rPr>
      <w:rFonts w:ascii="Courier New" w:hAnsi="Courier New" w:eastAsia="宋体" w:cs="Courier New"/>
      <w:sz w:val="20"/>
      <w:szCs w:val="20"/>
    </w:rPr>
  </w:style>
  <w:style w:type="character" w:customStyle="1" w:styleId="25">
    <w:name w:val="正文文本缩进 2 Char"/>
    <w:basedOn w:val="16"/>
    <w:link w:val="8"/>
    <w:semiHidden/>
    <w:qFormat/>
    <w:uiPriority w:val="0"/>
    <w:rPr>
      <w:rFonts w:ascii="仿宋_GB2312" w:hAnsi="Times New Roman" w:eastAsia="仿宋_GB2312" w:cs="Times New Roman"/>
      <w:kern w:val="0"/>
      <w:sz w:val="28"/>
      <w:szCs w:val="20"/>
    </w:rPr>
  </w:style>
  <w:style w:type="paragraph" w:styleId="26">
    <w:name w:val="List Paragraph"/>
    <w:basedOn w:val="1"/>
    <w:qFormat/>
    <w:uiPriority w:val="34"/>
    <w:pPr>
      <w:ind w:firstLine="420" w:firstLineChars="200"/>
    </w:pPr>
  </w:style>
  <w:style w:type="character" w:customStyle="1" w:styleId="27">
    <w:name w:val="tpc_content1"/>
    <w:basedOn w:val="16"/>
    <w:qFormat/>
    <w:uiPriority w:val="0"/>
    <w:rPr>
      <w:sz w:val="20"/>
      <w:szCs w:val="20"/>
    </w:rPr>
  </w:style>
  <w:style w:type="character" w:customStyle="1" w:styleId="28">
    <w:name w:val="日期 Char"/>
    <w:basedOn w:val="16"/>
    <w:link w:val="7"/>
    <w:semiHidden/>
    <w:qFormat/>
    <w:uiPriority w:val="0"/>
    <w:rPr>
      <w:rFonts w:ascii="仿宋_GB2312" w:hAnsi="Times New Roman" w:eastAsia="仿宋_GB2312" w:cs="Times New Roman"/>
      <w:kern w:val="0"/>
      <w:sz w:val="28"/>
      <w:szCs w:val="20"/>
    </w:rPr>
  </w:style>
  <w:style w:type="paragraph" w:customStyle="1" w:styleId="2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2">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3">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
    <w:name w:val="font10"/>
    <w:basedOn w:val="1"/>
    <w:qFormat/>
    <w:uiPriority w:val="0"/>
    <w:pPr>
      <w:widowControl/>
      <w:spacing w:before="100" w:beforeAutospacing="1" w:after="100" w:afterAutospacing="1"/>
      <w:jc w:val="left"/>
    </w:pPr>
    <w:rPr>
      <w:kern w:val="0"/>
      <w:sz w:val="24"/>
      <w:szCs w:val="24"/>
    </w:rPr>
  </w:style>
  <w:style w:type="paragraph" w:customStyle="1" w:styleId="3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3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8">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0">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3">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5">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6">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8">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3">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69">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6">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8">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9">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1">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4">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5">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6">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7">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89">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0">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3">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8">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9">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0">
    <w:name w:val="纯文本 Char1"/>
    <w:qFormat/>
    <w:uiPriority w:val="0"/>
    <w:rPr>
      <w:rFonts w:ascii="宋体" w:hAnsi="Courier New" w:eastAsia="宋体"/>
      <w:kern w:val="2"/>
      <w:sz w:val="24"/>
      <w:szCs w:val="24"/>
      <w:lang w:val="en-US" w:eastAsia="zh-CN" w:bidi="ar-SA"/>
    </w:rPr>
  </w:style>
  <w:style w:type="paragraph" w:customStyle="1" w:styleId="101">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2">
    <w:name w:val="正文文本 Char"/>
    <w:basedOn w:val="16"/>
    <w:link w:val="5"/>
    <w:semiHidden/>
    <w:qFormat/>
    <w:uiPriority w:val="99"/>
    <w:rPr>
      <w:rFonts w:ascii="Times New Roman" w:hAnsi="Times New Roman" w:eastAsia="宋体" w:cs="Times New Roman"/>
      <w:szCs w:val="20"/>
    </w:rPr>
  </w:style>
  <w:style w:type="paragraph" w:customStyle="1" w:styleId="103">
    <w:name w:val="默认段落字体 Para Char Char Char Char Char Char Char Char Char1 Char Char Char Char"/>
    <w:basedOn w:val="1"/>
    <w:qFormat/>
    <w:uiPriority w:val="0"/>
    <w:rPr>
      <w:rFonts w:ascii="Tahoma" w:hAnsi="Tahoma"/>
      <w:sz w:val="24"/>
    </w:rPr>
  </w:style>
  <w:style w:type="character" w:customStyle="1" w:styleId="104">
    <w:name w:val="批注框文本 Char"/>
    <w:basedOn w:val="16"/>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A520E-E65B-4758-AAB0-0A9FA338EFF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1354</Words>
  <Characters>7720</Characters>
  <Lines>64</Lines>
  <Paragraphs>18</Paragraphs>
  <TotalTime>1</TotalTime>
  <ScaleCrop>false</ScaleCrop>
  <LinksUpToDate>false</LinksUpToDate>
  <CharactersWithSpaces>9056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2019-11-15T06:49:00Z</dcterms:created>
  <dc:creator>lenovo</dc:creator>
  <cp:lastModifiedBy>杜杜</cp:lastModifiedBy>
  <cp:lastPrinted>2019-11-21T05:56:00Z</cp:lastPrinted>
  <dcterms:modified xsi:type="dcterms:W3CDTF">2021-07-27T02:08:57Z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25EF4ABE017C495696E9E32140737D64</vt:lpwstr>
  </property>
</Properties>
</file>