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p>
    <w:p>
      <w:pPr>
        <w:jc w:val="center"/>
        <w:rPr>
          <w:rFonts w:ascii="宋体" w:hAnsi="宋体"/>
          <w:b/>
          <w:sz w:val="36"/>
          <w:szCs w:val="36"/>
        </w:rPr>
      </w:pPr>
      <w:r>
        <w:rPr>
          <w:rFonts w:hint="eastAsia" w:ascii="宋体" w:hAnsi="宋体"/>
          <w:b/>
          <w:sz w:val="36"/>
          <w:szCs w:val="36"/>
        </w:rPr>
        <w:t>义乌市妇幼保健院消防系统维护保养招标文件</w:t>
      </w:r>
    </w:p>
    <w:p>
      <w:pPr>
        <w:autoSpaceDE w:val="0"/>
        <w:autoSpaceDN w:val="0"/>
        <w:adjustRightInd w:val="0"/>
        <w:spacing w:line="360" w:lineRule="auto"/>
        <w:jc w:val="center"/>
        <w:rPr>
          <w:rFonts w:ascii="宋体" w:hAnsi="宋体"/>
          <w:b/>
          <w:bCs/>
          <w:sz w:val="30"/>
          <w:szCs w:val="30"/>
          <w:lang w:val="zh-CN"/>
        </w:rPr>
      </w:pPr>
      <w:r>
        <w:rPr>
          <w:rFonts w:hint="eastAsia" w:ascii="宋体" w:hAnsi="宋体"/>
          <w:b/>
          <w:bCs/>
          <w:sz w:val="30"/>
          <w:szCs w:val="30"/>
          <w:lang w:val="zh-CN"/>
        </w:rPr>
        <w:t>第一章 招标公告</w:t>
      </w:r>
    </w:p>
    <w:p>
      <w:pPr>
        <w:spacing w:line="360" w:lineRule="auto"/>
        <w:ind w:firstLine="480" w:firstLineChars="200"/>
        <w:rPr>
          <w:rFonts w:ascii="宋体" w:hAnsi="宋体"/>
          <w:b w:val="0"/>
          <w:bCs w:val="0"/>
          <w:sz w:val="24"/>
        </w:rPr>
      </w:pPr>
      <w:r>
        <w:rPr>
          <w:rFonts w:hint="eastAsia" w:ascii="宋体" w:hAnsi="宋体"/>
          <w:b w:val="0"/>
          <w:bCs w:val="0"/>
          <w:sz w:val="24"/>
        </w:rPr>
        <w:t>根据义乌市妇幼保健院采购要求, 对我院消防系统维护保养进行公开的招标采购。投标单位在投标之前必须认真阅读本招标文件的说明、表格、条件及规范等所有内容，投标方因未能遵循此要求而造成的对本招标文件所要求投标方提供的任何资料、信息、数据的遗漏或任何非针对招标文件要求项目的报价，均须自担风险并承担可能导致其投标文件被招标方拒绝的后果。</w:t>
      </w:r>
    </w:p>
    <w:p>
      <w:pPr>
        <w:numPr>
          <w:ilvl w:val="0"/>
          <w:numId w:val="1"/>
        </w:numPr>
        <w:spacing w:line="360" w:lineRule="auto"/>
        <w:rPr>
          <w:rFonts w:ascii="宋体" w:hAnsi="宋体"/>
          <w:b w:val="0"/>
          <w:bCs w:val="0"/>
          <w:sz w:val="24"/>
          <w:u w:val="single"/>
        </w:rPr>
      </w:pPr>
      <w:r>
        <w:rPr>
          <w:rFonts w:hint="eastAsia" w:ascii="宋体" w:hAnsi="宋体"/>
          <w:b w:val="0"/>
          <w:bCs w:val="0"/>
          <w:sz w:val="24"/>
        </w:rPr>
        <w:t xml:space="preserve">项目编号: </w:t>
      </w:r>
      <w:r>
        <w:rPr>
          <w:rFonts w:hint="eastAsia" w:ascii="宋体" w:hAnsi="宋体"/>
          <w:b w:val="0"/>
          <w:bCs w:val="0"/>
          <w:sz w:val="24"/>
          <w:lang w:val="en-US" w:eastAsia="zh-CN"/>
        </w:rPr>
        <w:t>YWFBY202152</w:t>
      </w:r>
    </w:p>
    <w:p>
      <w:pPr>
        <w:numPr>
          <w:ilvl w:val="0"/>
          <w:numId w:val="1"/>
        </w:numPr>
        <w:spacing w:line="360" w:lineRule="auto"/>
        <w:rPr>
          <w:rFonts w:ascii="宋体" w:hAnsi="宋体"/>
          <w:b w:val="0"/>
          <w:bCs w:val="0"/>
          <w:sz w:val="24"/>
        </w:rPr>
      </w:pPr>
      <w:r>
        <w:rPr>
          <w:rFonts w:hint="eastAsia" w:ascii="宋体" w:hAnsi="宋体"/>
          <w:b w:val="0"/>
          <w:bCs w:val="0"/>
          <w:sz w:val="24"/>
          <w:szCs w:val="24"/>
        </w:rPr>
        <w:t>采购组织类型：分散采购</w:t>
      </w:r>
    </w:p>
    <w:p>
      <w:pPr>
        <w:numPr>
          <w:ilvl w:val="0"/>
          <w:numId w:val="1"/>
        </w:numPr>
        <w:spacing w:line="360" w:lineRule="auto"/>
        <w:rPr>
          <w:rFonts w:ascii="宋体" w:hAnsi="宋体"/>
          <w:b w:val="0"/>
          <w:bCs w:val="0"/>
          <w:sz w:val="24"/>
        </w:rPr>
      </w:pPr>
      <w:r>
        <w:rPr>
          <w:rFonts w:hint="eastAsia" w:ascii="宋体" w:hAnsi="宋体"/>
          <w:b w:val="0"/>
          <w:bCs w:val="0"/>
          <w:sz w:val="24"/>
        </w:rPr>
        <w:t>采购方式：院内招标</w:t>
      </w:r>
    </w:p>
    <w:p>
      <w:pPr>
        <w:numPr>
          <w:ilvl w:val="0"/>
          <w:numId w:val="1"/>
        </w:numPr>
        <w:spacing w:line="360" w:lineRule="auto"/>
        <w:rPr>
          <w:rFonts w:ascii="宋体" w:hAnsi="宋体"/>
          <w:b w:val="0"/>
          <w:bCs w:val="0"/>
          <w:sz w:val="24"/>
        </w:rPr>
      </w:pPr>
      <w:r>
        <w:rPr>
          <w:rFonts w:ascii="宋体" w:hAnsi="宋体"/>
          <w:b w:val="0"/>
          <w:bCs w:val="0"/>
          <w:sz w:val="24"/>
        </w:rPr>
        <w:t>采购人</w:t>
      </w:r>
      <w:r>
        <w:rPr>
          <w:rFonts w:hint="eastAsia" w:ascii="宋体" w:hAnsi="宋体"/>
          <w:b w:val="0"/>
          <w:bCs w:val="0"/>
          <w:sz w:val="24"/>
        </w:rPr>
        <w:t>：</w:t>
      </w:r>
      <w:r>
        <w:rPr>
          <w:rFonts w:hint="eastAsia" w:ascii="宋体" w:hAnsi="宋体" w:cs="宋体"/>
          <w:b w:val="0"/>
          <w:bCs w:val="0"/>
          <w:kern w:val="0"/>
          <w:sz w:val="24"/>
          <w:szCs w:val="24"/>
        </w:rPr>
        <w:t>义乌市妇幼保健院</w:t>
      </w:r>
    </w:p>
    <w:p>
      <w:pPr>
        <w:numPr>
          <w:ilvl w:val="0"/>
          <w:numId w:val="1"/>
        </w:numPr>
        <w:spacing w:line="360" w:lineRule="auto"/>
        <w:rPr>
          <w:rFonts w:ascii="宋体" w:hAnsi="宋体"/>
          <w:b w:val="0"/>
          <w:bCs w:val="0"/>
          <w:sz w:val="24"/>
        </w:rPr>
      </w:pPr>
      <w:r>
        <w:rPr>
          <w:rFonts w:hint="eastAsia" w:ascii="宋体" w:hAnsi="宋体"/>
          <w:b w:val="0"/>
          <w:bCs w:val="0"/>
          <w:sz w:val="24"/>
        </w:rPr>
        <w:t>采购内容：消防系统维护保养。</w:t>
      </w:r>
    </w:p>
    <w:p>
      <w:pPr>
        <w:numPr>
          <w:ilvl w:val="0"/>
          <w:numId w:val="1"/>
        </w:numPr>
        <w:spacing w:line="360" w:lineRule="auto"/>
        <w:rPr>
          <w:rFonts w:ascii="宋体" w:hAnsi="宋体"/>
          <w:b w:val="0"/>
          <w:bCs w:val="0"/>
          <w:sz w:val="24"/>
        </w:rPr>
      </w:pPr>
      <w:r>
        <w:rPr>
          <w:rFonts w:ascii="宋体" w:hAnsi="宋体"/>
          <w:b w:val="0"/>
          <w:bCs w:val="0"/>
          <w:sz w:val="24"/>
        </w:rPr>
        <w:t>采购预算</w:t>
      </w:r>
      <w:r>
        <w:rPr>
          <w:rFonts w:hint="eastAsia" w:ascii="宋体" w:hAnsi="宋体"/>
          <w:b w:val="0"/>
          <w:bCs w:val="0"/>
          <w:sz w:val="24"/>
        </w:rPr>
        <w:t>及最高限价：</w:t>
      </w:r>
      <w:r>
        <w:rPr>
          <w:rFonts w:hint="eastAsia" w:ascii="宋体" w:hAnsi="宋体"/>
          <w:b w:val="0"/>
          <w:bCs w:val="0"/>
          <w:sz w:val="24"/>
          <w:szCs w:val="24"/>
        </w:rPr>
        <w:t>本项目设最高限价10万，</w:t>
      </w:r>
      <w:r>
        <w:rPr>
          <w:rFonts w:ascii="宋体" w:hAnsi="宋体"/>
          <w:b w:val="0"/>
          <w:bCs w:val="0"/>
          <w:sz w:val="24"/>
          <w:szCs w:val="24"/>
        </w:rPr>
        <w:t>投标报价</w:t>
      </w:r>
      <w:r>
        <w:rPr>
          <w:rFonts w:hint="eastAsia" w:ascii="宋体" w:hAnsi="宋体"/>
          <w:b w:val="0"/>
          <w:bCs w:val="0"/>
          <w:sz w:val="24"/>
          <w:szCs w:val="24"/>
        </w:rPr>
        <w:t>高于</w:t>
      </w:r>
      <w:r>
        <w:rPr>
          <w:rFonts w:ascii="宋体" w:hAnsi="宋体"/>
          <w:b w:val="0"/>
          <w:bCs w:val="0"/>
          <w:sz w:val="24"/>
          <w:szCs w:val="24"/>
        </w:rPr>
        <w:t>最</w:t>
      </w:r>
      <w:r>
        <w:rPr>
          <w:rFonts w:hint="eastAsia" w:ascii="宋体" w:hAnsi="宋体"/>
          <w:b w:val="0"/>
          <w:bCs w:val="0"/>
          <w:sz w:val="24"/>
          <w:szCs w:val="24"/>
        </w:rPr>
        <w:t>高</w:t>
      </w:r>
      <w:r>
        <w:rPr>
          <w:rFonts w:ascii="宋体" w:hAnsi="宋体"/>
          <w:b w:val="0"/>
          <w:bCs w:val="0"/>
          <w:sz w:val="24"/>
          <w:szCs w:val="24"/>
        </w:rPr>
        <w:t>限价的，其投标均为无效标</w:t>
      </w:r>
      <w:r>
        <w:rPr>
          <w:rFonts w:hint="eastAsia" w:ascii="宋体" w:hAnsi="宋体" w:cs="宋体"/>
          <w:b w:val="0"/>
          <w:bCs w:val="0"/>
          <w:kern w:val="0"/>
          <w:sz w:val="24"/>
          <w:szCs w:val="24"/>
        </w:rPr>
        <w:t>。</w:t>
      </w:r>
    </w:p>
    <w:p>
      <w:pPr>
        <w:numPr>
          <w:ilvl w:val="0"/>
          <w:numId w:val="1"/>
        </w:numPr>
        <w:spacing w:line="360" w:lineRule="auto"/>
        <w:rPr>
          <w:rFonts w:ascii="宋体" w:hAnsi="宋体"/>
          <w:b w:val="0"/>
          <w:bCs w:val="0"/>
          <w:sz w:val="24"/>
        </w:rPr>
      </w:pPr>
      <w:r>
        <w:rPr>
          <w:rFonts w:ascii="宋体" w:hAnsi="宋体" w:cs="宋体"/>
          <w:b w:val="0"/>
          <w:bCs w:val="0"/>
          <w:kern w:val="0"/>
          <w:sz w:val="24"/>
          <w:szCs w:val="24"/>
        </w:rPr>
        <w:t>评标</w:t>
      </w:r>
      <w:r>
        <w:rPr>
          <w:rFonts w:hint="eastAsia" w:ascii="宋体" w:hAnsi="宋体"/>
          <w:b w:val="0"/>
          <w:bCs w:val="0"/>
          <w:sz w:val="24"/>
        </w:rPr>
        <w:t>方法</w:t>
      </w:r>
      <w:r>
        <w:rPr>
          <w:rFonts w:hint="eastAsia" w:ascii="宋体" w:hAnsi="宋体" w:cs="宋体"/>
          <w:b w:val="0"/>
          <w:bCs w:val="0"/>
          <w:kern w:val="0"/>
          <w:sz w:val="24"/>
          <w:szCs w:val="24"/>
        </w:rPr>
        <w:t>：</w:t>
      </w:r>
      <w:r>
        <w:rPr>
          <w:rFonts w:ascii="宋体" w:hAnsi="宋体" w:cs="宋体"/>
          <w:b w:val="0"/>
          <w:bCs w:val="0"/>
          <w:kern w:val="0"/>
          <w:sz w:val="24"/>
          <w:szCs w:val="24"/>
        </w:rPr>
        <w:t>综合评分法</w:t>
      </w:r>
      <w:r>
        <w:rPr>
          <w:rFonts w:hint="eastAsia" w:ascii="宋体" w:hAnsi="宋体" w:cs="宋体"/>
          <w:b w:val="0"/>
          <w:bCs w:val="0"/>
          <w:kern w:val="0"/>
          <w:sz w:val="24"/>
          <w:szCs w:val="24"/>
        </w:rPr>
        <w:t>。</w:t>
      </w:r>
    </w:p>
    <w:p>
      <w:pPr>
        <w:numPr>
          <w:ilvl w:val="0"/>
          <w:numId w:val="1"/>
        </w:numPr>
        <w:spacing w:line="360" w:lineRule="auto"/>
        <w:rPr>
          <w:rFonts w:ascii="宋体" w:hAnsi="宋体"/>
          <w:b w:val="0"/>
          <w:bCs w:val="0"/>
          <w:sz w:val="24"/>
        </w:rPr>
      </w:pPr>
      <w:r>
        <w:rPr>
          <w:rFonts w:hint="eastAsia" w:ascii="宋体" w:hAnsi="宋体"/>
          <w:b w:val="0"/>
          <w:bCs w:val="0"/>
          <w:sz w:val="24"/>
        </w:rPr>
        <w:t>合作期限：</w:t>
      </w:r>
      <w:r>
        <w:rPr>
          <w:rFonts w:ascii="宋体" w:hAnsi="宋体"/>
          <w:b w:val="0"/>
          <w:bCs w:val="0"/>
          <w:sz w:val="24"/>
        </w:rPr>
        <w:t>一年</w:t>
      </w:r>
      <w:r>
        <w:rPr>
          <w:rFonts w:hint="eastAsia" w:ascii="宋体" w:hAnsi="宋体"/>
          <w:b w:val="0"/>
          <w:bCs w:val="0"/>
          <w:sz w:val="24"/>
        </w:rPr>
        <w:t>。</w:t>
      </w:r>
    </w:p>
    <w:p>
      <w:pPr>
        <w:numPr>
          <w:ilvl w:val="0"/>
          <w:numId w:val="1"/>
        </w:numPr>
        <w:spacing w:line="360" w:lineRule="auto"/>
        <w:rPr>
          <w:rFonts w:ascii="宋体" w:hAnsi="宋体"/>
          <w:b w:val="0"/>
          <w:bCs w:val="0"/>
          <w:sz w:val="24"/>
        </w:rPr>
      </w:pPr>
      <w:r>
        <w:rPr>
          <w:rFonts w:hint="eastAsia" w:ascii="宋体" w:hAnsi="宋体"/>
          <w:b w:val="0"/>
          <w:bCs w:val="0"/>
          <w:sz w:val="24"/>
        </w:rPr>
        <w:t>投标单位的资格要求：</w:t>
      </w:r>
    </w:p>
    <w:p>
      <w:pPr>
        <w:pStyle w:val="26"/>
        <w:widowControl/>
        <w:spacing w:line="360" w:lineRule="auto"/>
        <w:ind w:left="480" w:firstLine="0" w:firstLineChars="0"/>
        <w:jc w:val="left"/>
        <w:rPr>
          <w:rFonts w:ascii="宋体" w:hAnsi="宋体" w:cs="宋体"/>
          <w:b w:val="0"/>
          <w:bCs w:val="0"/>
          <w:kern w:val="0"/>
          <w:sz w:val="24"/>
          <w:szCs w:val="24"/>
        </w:rPr>
      </w:pPr>
      <w:r>
        <w:rPr>
          <w:rFonts w:hint="eastAsia" w:ascii="宋体" w:hAnsi="宋体" w:cs="宋体"/>
          <w:b w:val="0"/>
          <w:bCs w:val="0"/>
          <w:kern w:val="0"/>
          <w:sz w:val="24"/>
          <w:szCs w:val="24"/>
        </w:rPr>
        <w:t>1、国内具有独立法人资格。</w:t>
      </w:r>
    </w:p>
    <w:p>
      <w:pPr>
        <w:pStyle w:val="26"/>
        <w:widowControl/>
        <w:spacing w:line="360" w:lineRule="auto"/>
        <w:ind w:left="480" w:firstLine="0" w:firstLineChars="0"/>
        <w:jc w:val="left"/>
        <w:rPr>
          <w:rFonts w:ascii="宋体" w:hAnsi="宋体" w:cs="宋体"/>
          <w:b w:val="0"/>
          <w:bCs w:val="0"/>
          <w:kern w:val="0"/>
          <w:sz w:val="24"/>
          <w:szCs w:val="24"/>
        </w:rPr>
      </w:pPr>
      <w:r>
        <w:rPr>
          <w:rFonts w:hint="eastAsia" w:ascii="宋体" w:hAnsi="宋体" w:cs="宋体"/>
          <w:b w:val="0"/>
          <w:bCs w:val="0"/>
          <w:kern w:val="0"/>
          <w:sz w:val="24"/>
          <w:szCs w:val="24"/>
        </w:rPr>
        <w:t>2、</w:t>
      </w:r>
      <w:r>
        <w:rPr>
          <w:rFonts w:ascii="宋体" w:hAnsi="宋体" w:cs="宋体"/>
          <w:b w:val="0"/>
          <w:bCs w:val="0"/>
          <w:kern w:val="0"/>
          <w:sz w:val="24"/>
          <w:szCs w:val="24"/>
        </w:rPr>
        <w:t>符合《中华人民共和国政府采购法》第二十二条对供应商的要求。</w:t>
      </w:r>
    </w:p>
    <w:p>
      <w:pPr>
        <w:pStyle w:val="26"/>
        <w:widowControl/>
        <w:spacing w:line="360" w:lineRule="auto"/>
        <w:ind w:left="480" w:firstLine="0" w:firstLineChars="0"/>
        <w:jc w:val="left"/>
        <w:rPr>
          <w:rFonts w:ascii="宋体" w:hAnsi="宋体" w:cs="宋体"/>
          <w:b w:val="0"/>
          <w:bCs w:val="0"/>
          <w:kern w:val="0"/>
          <w:sz w:val="24"/>
          <w:szCs w:val="24"/>
        </w:rPr>
      </w:pPr>
      <w:r>
        <w:rPr>
          <w:rFonts w:hint="eastAsia" w:ascii="宋体" w:hAnsi="宋体" w:cs="宋体"/>
          <w:b w:val="0"/>
          <w:bCs w:val="0"/>
          <w:kern w:val="0"/>
          <w:sz w:val="24"/>
          <w:szCs w:val="24"/>
        </w:rPr>
        <w:t>3、</w:t>
      </w:r>
      <w:r>
        <w:rPr>
          <w:rFonts w:ascii="宋体" w:hAnsi="宋体" w:cs="宋体"/>
          <w:b w:val="0"/>
          <w:bCs w:val="0"/>
          <w:kern w:val="0"/>
          <w:sz w:val="24"/>
          <w:szCs w:val="24"/>
        </w:rPr>
        <w:t>具有本项目所需货物的服务能力，并能为招标人提供便捷的售后服务，本项目不接受联合体投标。</w:t>
      </w:r>
    </w:p>
    <w:p>
      <w:pPr>
        <w:pStyle w:val="26"/>
        <w:widowControl/>
        <w:spacing w:line="360" w:lineRule="auto"/>
        <w:ind w:left="480" w:firstLine="0" w:firstLineChars="0"/>
        <w:jc w:val="left"/>
        <w:rPr>
          <w:rFonts w:ascii="宋体" w:hAnsi="宋体"/>
          <w:b w:val="0"/>
          <w:bCs w:val="0"/>
          <w:sz w:val="24"/>
        </w:rPr>
      </w:pPr>
      <w:r>
        <w:rPr>
          <w:rFonts w:hint="eastAsia" w:ascii="宋体" w:hAnsi="宋体" w:cs="宋体"/>
          <w:b w:val="0"/>
          <w:bCs w:val="0"/>
          <w:kern w:val="0"/>
          <w:sz w:val="24"/>
          <w:szCs w:val="24"/>
        </w:rPr>
        <w:t>4、</w:t>
      </w:r>
      <w:r>
        <w:rPr>
          <w:rFonts w:hint="eastAsia" w:ascii="宋体" w:hAnsi="宋体"/>
          <w:b w:val="0"/>
          <w:bCs w:val="0"/>
          <w:sz w:val="24"/>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pStyle w:val="26"/>
        <w:widowControl/>
        <w:spacing w:line="360" w:lineRule="auto"/>
        <w:ind w:left="480" w:firstLine="0" w:firstLineChars="0"/>
        <w:jc w:val="left"/>
        <w:rPr>
          <w:rFonts w:hint="eastAsia" w:ascii="宋体" w:hAnsi="宋体"/>
          <w:b w:val="0"/>
          <w:bCs w:val="0"/>
          <w:sz w:val="24"/>
        </w:rPr>
      </w:pPr>
      <w:r>
        <w:rPr>
          <w:rFonts w:hint="eastAsia" w:ascii="宋体" w:hAnsi="宋体"/>
          <w:b w:val="0"/>
          <w:bCs w:val="0"/>
          <w:sz w:val="24"/>
        </w:rPr>
        <w:t>5、具有消防技术服务机构资质证书的提供相关证书（消防安全评估、检测、维护、保养），具有消防设施维护保养检测一级（含临时）资质。营业执照取得满3年以上。</w:t>
      </w:r>
    </w:p>
    <w:p>
      <w:pPr>
        <w:pStyle w:val="6"/>
        <w:spacing w:line="360" w:lineRule="auto"/>
        <w:rPr>
          <w:rFonts w:hint="eastAsia" w:ascii="Times New Roman" w:hAnsi="Times New Roman" w:eastAsia="宋体" w:cs="Times New Roman"/>
          <w:b w:val="0"/>
          <w:bCs w:val="0"/>
          <w:sz w:val="24"/>
          <w:highlight w:val="none"/>
          <w:lang w:val="en-US" w:eastAsia="zh-CN"/>
        </w:rPr>
      </w:pPr>
      <w:r>
        <w:rPr>
          <w:rFonts w:hint="eastAsia" w:hAnsi="宋体"/>
          <w:b w:val="0"/>
          <w:bCs w:val="0"/>
          <w:color w:val="000000"/>
          <w:sz w:val="24"/>
          <w:lang w:eastAsia="zh-CN"/>
        </w:rPr>
        <w:t>十、</w:t>
      </w:r>
      <w:r>
        <w:rPr>
          <w:rFonts w:hint="default" w:ascii="Times New Roman" w:hAnsi="Times New Roman" w:cs="Times New Roman"/>
          <w:b w:val="0"/>
          <w:bCs w:val="0"/>
          <w:sz w:val="24"/>
          <w:highlight w:val="none"/>
        </w:rPr>
        <w:t>报名：</w:t>
      </w:r>
      <w:r>
        <w:rPr>
          <w:rFonts w:hint="eastAsia" w:ascii="Times New Roman" w:hAnsi="Times New Roman" w:cs="Times New Roman"/>
          <w:b w:val="0"/>
          <w:bCs w:val="0"/>
          <w:sz w:val="24"/>
          <w:highlight w:val="none"/>
          <w:lang w:val="en-US" w:eastAsia="zh-CN"/>
        </w:rPr>
        <w:t xml:space="preserve"> </w:t>
      </w:r>
    </w:p>
    <w:p>
      <w:pPr>
        <w:pStyle w:val="6"/>
        <w:spacing w:line="360" w:lineRule="auto"/>
        <w:rPr>
          <w:rFonts w:hint="eastAsia" w:hAnsi="宋体"/>
          <w:b w:val="0"/>
          <w:bCs w:val="0"/>
          <w:color w:val="000000"/>
          <w:sz w:val="24"/>
          <w:lang w:eastAsia="zh-CN"/>
        </w:rPr>
      </w:pPr>
    </w:p>
    <w:p>
      <w:pPr>
        <w:pStyle w:val="6"/>
        <w:spacing w:line="360" w:lineRule="auto"/>
        <w:ind w:firstLine="480" w:firstLineChars="200"/>
        <w:rPr>
          <w:rFonts w:hint="eastAsia" w:ascii="Times New Roman" w:hAnsi="Times New Roman"/>
          <w:b w:val="0"/>
          <w:bCs w:val="0"/>
          <w:color w:val="000000"/>
          <w:sz w:val="24"/>
        </w:rPr>
      </w:pPr>
      <w:r>
        <w:rPr>
          <w:rFonts w:hint="eastAsia" w:hAnsi="宋体"/>
          <w:b w:val="0"/>
          <w:bCs w:val="0"/>
          <w:color w:val="000000"/>
          <w:sz w:val="24"/>
          <w:lang w:eastAsia="zh-CN"/>
        </w:rPr>
        <w:t>（</w:t>
      </w:r>
      <w:r>
        <w:rPr>
          <w:rFonts w:hint="eastAsia" w:hAnsi="宋体"/>
          <w:b w:val="0"/>
          <w:bCs w:val="0"/>
          <w:color w:val="000000"/>
          <w:sz w:val="24"/>
          <w:lang w:val="en-US" w:eastAsia="zh-CN"/>
        </w:rPr>
        <w:t>1</w:t>
      </w:r>
      <w:r>
        <w:rPr>
          <w:rFonts w:hint="eastAsia" w:hAnsi="宋体"/>
          <w:b w:val="0"/>
          <w:bCs w:val="0"/>
          <w:color w:val="000000"/>
          <w:sz w:val="24"/>
          <w:lang w:eastAsia="zh-CN"/>
        </w:rPr>
        <w:t>）</w:t>
      </w:r>
      <w:r>
        <w:rPr>
          <w:rFonts w:hint="eastAsia" w:hAnsi="宋体"/>
          <w:b w:val="0"/>
          <w:bCs w:val="0"/>
          <w:color w:val="000000"/>
          <w:sz w:val="24"/>
        </w:rPr>
        <w:t>报名时间及招标文件获取：202</w:t>
      </w:r>
      <w:r>
        <w:rPr>
          <w:rFonts w:hAnsi="宋体"/>
          <w:b w:val="0"/>
          <w:bCs w:val="0"/>
          <w:color w:val="000000"/>
          <w:sz w:val="24"/>
        </w:rPr>
        <w:t>1</w:t>
      </w:r>
      <w:r>
        <w:rPr>
          <w:rFonts w:hint="eastAsia" w:hAnsi="宋体"/>
          <w:b w:val="0"/>
          <w:bCs w:val="0"/>
          <w:color w:val="000000"/>
          <w:sz w:val="24"/>
        </w:rPr>
        <w:t>年</w:t>
      </w:r>
      <w:r>
        <w:rPr>
          <w:rFonts w:hint="eastAsia" w:hAnsi="宋体"/>
          <w:b w:val="0"/>
          <w:bCs w:val="0"/>
          <w:color w:val="FF0000"/>
          <w:sz w:val="24"/>
          <w:lang w:val="en-US" w:eastAsia="zh-CN"/>
        </w:rPr>
        <w:t>5月19日至5月26日</w:t>
      </w:r>
      <w:r>
        <w:rPr>
          <w:rFonts w:hint="eastAsia" w:ascii="Times New Roman" w:hAnsi="Times New Roman"/>
          <w:b w:val="0"/>
          <w:bCs w:val="0"/>
          <w:color w:val="FF0000"/>
          <w:sz w:val="24"/>
        </w:rPr>
        <w:t>，（上午8:00-11:30,下午13:</w:t>
      </w:r>
      <w:r>
        <w:rPr>
          <w:rFonts w:hint="eastAsia" w:ascii="Times New Roman" w:hAnsi="Times New Roman"/>
          <w:b w:val="0"/>
          <w:bCs w:val="0"/>
          <w:color w:val="FF0000"/>
          <w:sz w:val="24"/>
          <w:lang w:val="en-US" w:eastAsia="zh-CN"/>
        </w:rPr>
        <w:t>3</w:t>
      </w:r>
      <w:r>
        <w:rPr>
          <w:rFonts w:hint="eastAsia" w:ascii="Times New Roman" w:hAnsi="Times New Roman"/>
          <w:b w:val="0"/>
          <w:bCs w:val="0"/>
          <w:color w:val="FF0000"/>
          <w:sz w:val="24"/>
        </w:rPr>
        <w:t>0-1</w:t>
      </w:r>
      <w:r>
        <w:rPr>
          <w:rFonts w:hint="eastAsia" w:ascii="Times New Roman" w:hAnsi="Times New Roman"/>
          <w:b w:val="0"/>
          <w:bCs w:val="0"/>
          <w:color w:val="FF0000"/>
          <w:sz w:val="24"/>
          <w:lang w:val="en-US" w:eastAsia="zh-CN"/>
        </w:rPr>
        <w:t>7</w:t>
      </w:r>
      <w:r>
        <w:rPr>
          <w:rFonts w:ascii="Times New Roman" w:hAnsi="Times New Roman"/>
          <w:b w:val="0"/>
          <w:bCs w:val="0"/>
          <w:color w:val="FF0000"/>
          <w:sz w:val="24"/>
        </w:rPr>
        <w:t>:</w:t>
      </w:r>
      <w:r>
        <w:rPr>
          <w:rFonts w:hint="eastAsia" w:ascii="Times New Roman" w:hAnsi="Times New Roman"/>
          <w:b w:val="0"/>
          <w:bCs w:val="0"/>
          <w:color w:val="FF0000"/>
          <w:sz w:val="24"/>
          <w:lang w:val="en-US" w:eastAsia="zh-CN"/>
        </w:rPr>
        <w:t>0</w:t>
      </w:r>
      <w:r>
        <w:rPr>
          <w:rFonts w:hint="eastAsia" w:ascii="Times New Roman" w:hAnsi="Times New Roman"/>
          <w:b w:val="0"/>
          <w:bCs w:val="0"/>
          <w:color w:val="FF0000"/>
          <w:sz w:val="24"/>
        </w:rPr>
        <w:t>0，周末、节假日除外），</w:t>
      </w:r>
      <w:r>
        <w:rPr>
          <w:rFonts w:hint="eastAsia" w:ascii="Times New Roman" w:hAnsi="Times New Roman"/>
          <w:b w:val="0"/>
          <w:bCs w:val="0"/>
          <w:color w:val="000000"/>
          <w:sz w:val="24"/>
        </w:rPr>
        <w:t>到义乌市妇幼保健院</w:t>
      </w:r>
      <w:r>
        <w:rPr>
          <w:rFonts w:ascii="Times New Roman" w:hAnsi="Times New Roman"/>
          <w:b w:val="0"/>
          <w:bCs w:val="0"/>
          <w:color w:val="000000"/>
          <w:sz w:val="24"/>
        </w:rPr>
        <w:t>行政楼三楼</w:t>
      </w:r>
      <w:r>
        <w:rPr>
          <w:rFonts w:hint="eastAsia" w:ascii="Times New Roman" w:hAnsi="Times New Roman"/>
          <w:b w:val="0"/>
          <w:bCs w:val="0"/>
          <w:color w:val="000000"/>
          <w:sz w:val="24"/>
        </w:rPr>
        <w:t>采招办领取招标文件（</w:t>
      </w:r>
      <w:r>
        <w:rPr>
          <w:rFonts w:ascii="Times New Roman" w:hAnsi="Times New Roman"/>
          <w:b w:val="0"/>
          <w:bCs w:val="0"/>
          <w:color w:val="000000"/>
          <w:sz w:val="24"/>
        </w:rPr>
        <w:t>义乌市新科路c100</w:t>
      </w:r>
      <w:r>
        <w:rPr>
          <w:rFonts w:hint="eastAsia" w:ascii="Times New Roman" w:hAnsi="Times New Roman"/>
          <w:b w:val="0"/>
          <w:bCs w:val="0"/>
          <w:color w:val="000000"/>
          <w:sz w:val="24"/>
        </w:rPr>
        <w:t>）或义乌</w:t>
      </w:r>
      <w:r>
        <w:rPr>
          <w:rFonts w:ascii="Times New Roman" w:hAnsi="Times New Roman"/>
          <w:b w:val="0"/>
          <w:bCs w:val="0"/>
          <w:color w:val="000000"/>
          <w:sz w:val="24"/>
        </w:rPr>
        <w:t>妇幼</w:t>
      </w:r>
      <w:r>
        <w:rPr>
          <w:rFonts w:hint="eastAsia" w:ascii="Times New Roman" w:hAnsi="Times New Roman"/>
          <w:b w:val="0"/>
          <w:bCs w:val="0"/>
          <w:color w:val="000000"/>
          <w:sz w:val="24"/>
        </w:rPr>
        <w:t>保健院网站下载获取。</w:t>
      </w:r>
    </w:p>
    <w:p>
      <w:pPr>
        <w:pStyle w:val="6"/>
        <w:spacing w:line="360" w:lineRule="auto"/>
        <w:ind w:firstLine="480"/>
        <w:rPr>
          <w:rFonts w:hint="eastAsia" w:ascii="Times New Roman" w:hAnsi="Times New Roman" w:eastAsia="宋体"/>
          <w:b w:val="0"/>
          <w:bCs w:val="0"/>
          <w:color w:val="000000"/>
          <w:sz w:val="24"/>
          <w:lang w:eastAsia="zh-CN"/>
        </w:rPr>
      </w:pPr>
      <w:r>
        <w:rPr>
          <w:rFonts w:hint="eastAsia" w:ascii="Times New Roman" w:hAnsi="Times New Roman"/>
          <w:b w:val="0"/>
          <w:bCs w:val="0"/>
          <w:color w:val="000000"/>
          <w:sz w:val="24"/>
        </w:rPr>
        <w:t>（2）报名方式：潜在供应商可通过电子邮件形式进行在线报名，将报名资料发送至采购人指定邮箱250210209@qq.com。报名时需</w:t>
      </w:r>
      <w:r>
        <w:rPr>
          <w:rFonts w:hint="eastAsia" w:ascii="Times New Roman" w:hAnsi="Times New Roman"/>
          <w:b w:val="0"/>
          <w:bCs w:val="0"/>
          <w:color w:val="000000"/>
          <w:sz w:val="24"/>
          <w:lang w:val="en-US" w:eastAsia="zh-CN"/>
        </w:rPr>
        <w:t>注明报名项目，并</w:t>
      </w:r>
      <w:r>
        <w:rPr>
          <w:rFonts w:hint="eastAsia" w:ascii="Times New Roman" w:hAnsi="Times New Roman"/>
          <w:b w:val="0"/>
          <w:bCs w:val="0"/>
          <w:color w:val="000000"/>
          <w:sz w:val="24"/>
        </w:rPr>
        <w:t>留下报名单位联系人姓名和联系电话。</w:t>
      </w:r>
    </w:p>
    <w:p>
      <w:pPr>
        <w:pStyle w:val="6"/>
        <w:spacing w:line="360" w:lineRule="auto"/>
        <w:rPr>
          <w:rFonts w:hint="eastAsia" w:ascii="Times New Roman" w:hAnsi="Times New Roman"/>
          <w:b w:val="0"/>
          <w:bCs w:val="0"/>
          <w:color w:val="000000"/>
          <w:sz w:val="24"/>
        </w:rPr>
      </w:pPr>
      <w:r>
        <w:rPr>
          <w:rFonts w:hint="eastAsia" w:ascii="Times New Roman" w:hAnsi="Times New Roman"/>
          <w:b w:val="0"/>
          <w:bCs w:val="0"/>
          <w:color w:val="000000"/>
          <w:sz w:val="24"/>
          <w:lang w:eastAsia="zh-CN"/>
        </w:rPr>
        <w:t>十一</w:t>
      </w:r>
      <w:r>
        <w:rPr>
          <w:rFonts w:hint="eastAsia" w:ascii="Times New Roman" w:hAnsi="Times New Roman"/>
          <w:b w:val="0"/>
          <w:bCs w:val="0"/>
          <w:color w:val="000000"/>
          <w:sz w:val="24"/>
        </w:rPr>
        <w:t>、报名时所需资料</w:t>
      </w:r>
    </w:p>
    <w:p>
      <w:pPr>
        <w:pStyle w:val="6"/>
        <w:spacing w:line="360" w:lineRule="auto"/>
        <w:ind w:firstLine="480" w:firstLineChars="200"/>
        <w:rPr>
          <w:rFonts w:hint="eastAsia" w:ascii="宋体" w:hAnsi="宋体"/>
          <w:b w:val="0"/>
          <w:bCs w:val="0"/>
          <w:sz w:val="24"/>
        </w:rPr>
      </w:pPr>
      <w:r>
        <w:rPr>
          <w:rFonts w:hint="default" w:ascii="Times New Roman" w:hAnsi="Times New Roman" w:cs="Times New Roman"/>
          <w:b w:val="0"/>
          <w:bCs w:val="0"/>
          <w:color w:val="000000"/>
          <w:sz w:val="24"/>
          <w:highlight w:val="none"/>
        </w:rPr>
        <w:t>（1）</w:t>
      </w:r>
      <w:r>
        <w:rPr>
          <w:rFonts w:hint="eastAsia" w:ascii="宋体" w:hAnsi="宋体"/>
          <w:b w:val="0"/>
          <w:bCs w:val="0"/>
          <w:sz w:val="24"/>
        </w:rPr>
        <w:t>单位的组织机构代码证（加盖单位公章 红章）</w:t>
      </w:r>
    </w:p>
    <w:p>
      <w:pPr>
        <w:pStyle w:val="6"/>
        <w:spacing w:line="360" w:lineRule="auto"/>
        <w:ind w:firstLine="480" w:firstLineChars="200"/>
        <w:rPr>
          <w:rFonts w:hint="eastAsia" w:ascii="宋体" w:hAnsi="宋体"/>
          <w:b w:val="0"/>
          <w:bCs w:val="0"/>
          <w:sz w:val="24"/>
        </w:rPr>
      </w:pPr>
      <w:r>
        <w:rPr>
          <w:rFonts w:hint="default" w:ascii="Times New Roman" w:hAnsi="Times New Roman" w:cs="Times New Roman"/>
          <w:b w:val="0"/>
          <w:bCs w:val="0"/>
          <w:color w:val="000000"/>
          <w:sz w:val="24"/>
          <w:highlight w:val="none"/>
        </w:rPr>
        <w:t>（</w:t>
      </w:r>
      <w:r>
        <w:rPr>
          <w:rFonts w:hint="eastAsia" w:ascii="Times New Roman" w:hAnsi="Times New Roman" w:cs="Times New Roman"/>
          <w:b w:val="0"/>
          <w:bCs w:val="0"/>
          <w:color w:val="000000"/>
          <w:sz w:val="24"/>
          <w:highlight w:val="none"/>
          <w:lang w:val="en-US" w:eastAsia="zh-CN"/>
        </w:rPr>
        <w:t>2</w:t>
      </w:r>
      <w:r>
        <w:rPr>
          <w:rFonts w:hint="default" w:ascii="Times New Roman" w:hAnsi="Times New Roman" w:cs="Times New Roman"/>
          <w:b w:val="0"/>
          <w:bCs w:val="0"/>
          <w:color w:val="000000"/>
          <w:sz w:val="24"/>
          <w:highlight w:val="none"/>
        </w:rPr>
        <w:t>）被授权人身份证；</w:t>
      </w:r>
      <w:r>
        <w:rPr>
          <w:rFonts w:hint="eastAsia" w:ascii="宋体" w:hAnsi="宋体"/>
          <w:b w:val="0"/>
          <w:bCs w:val="0"/>
          <w:sz w:val="24"/>
        </w:rPr>
        <w:t>（加盖单位公章）</w:t>
      </w:r>
    </w:p>
    <w:p>
      <w:pPr>
        <w:pStyle w:val="26"/>
        <w:numPr>
          <w:ilvl w:val="0"/>
          <w:numId w:val="0"/>
        </w:numPr>
        <w:spacing w:line="360" w:lineRule="auto"/>
        <w:ind w:leftChars="0"/>
        <w:rPr>
          <w:rFonts w:hint="eastAsia" w:ascii="宋体" w:hAnsi="宋体" w:eastAsia="宋体"/>
          <w:b w:val="0"/>
          <w:bCs w:val="0"/>
          <w:sz w:val="24"/>
          <w:lang w:eastAsia="zh-CN"/>
        </w:rPr>
      </w:pPr>
      <w:r>
        <w:rPr>
          <w:rFonts w:hint="eastAsia" w:ascii="宋体" w:hAnsi="宋体"/>
          <w:b w:val="0"/>
          <w:bCs w:val="0"/>
          <w:sz w:val="24"/>
          <w:lang w:eastAsia="zh-CN"/>
        </w:rPr>
        <w:t>（</w:t>
      </w:r>
      <w:r>
        <w:rPr>
          <w:rFonts w:hint="eastAsia" w:ascii="宋体" w:hAnsi="宋体"/>
          <w:b w:val="0"/>
          <w:bCs w:val="0"/>
          <w:sz w:val="24"/>
        </w:rPr>
        <w:t>复印件加盖公章的原件在开标当天补交</w:t>
      </w:r>
      <w:r>
        <w:rPr>
          <w:rFonts w:hint="eastAsia" w:ascii="宋体" w:hAnsi="宋体"/>
          <w:b w:val="0"/>
          <w:bCs w:val="0"/>
          <w:sz w:val="24"/>
          <w:lang w:eastAsia="zh-CN"/>
        </w:rPr>
        <w:t>）</w:t>
      </w:r>
    </w:p>
    <w:p>
      <w:pPr>
        <w:pStyle w:val="6"/>
        <w:spacing w:line="360" w:lineRule="auto"/>
        <w:rPr>
          <w:rFonts w:ascii="Times New Roman" w:hAnsi="Times New Roman"/>
          <w:b w:val="0"/>
          <w:bCs w:val="0"/>
          <w:color w:val="000000"/>
          <w:sz w:val="24"/>
        </w:rPr>
      </w:pPr>
      <w:r>
        <w:rPr>
          <w:rFonts w:hint="eastAsia" w:ascii="Times New Roman" w:hAnsi="Times New Roman"/>
          <w:b w:val="0"/>
          <w:bCs w:val="0"/>
          <w:color w:val="000000"/>
          <w:sz w:val="24"/>
          <w:lang w:eastAsia="zh-CN"/>
        </w:rPr>
        <w:t>十二、</w:t>
      </w:r>
      <w:r>
        <w:rPr>
          <w:rFonts w:ascii="Times New Roman" w:hAnsi="Times New Roman"/>
          <w:b w:val="0"/>
          <w:bCs w:val="0"/>
          <w:color w:val="000000"/>
          <w:sz w:val="24"/>
        </w:rPr>
        <w:t>递交投标文件截止及开标时间：</w:t>
      </w:r>
      <w:r>
        <w:rPr>
          <w:rFonts w:ascii="Times New Roman" w:hAnsi="Times New Roman"/>
          <w:b w:val="0"/>
          <w:bCs w:val="0"/>
          <w:color w:val="000000"/>
          <w:sz w:val="24"/>
          <w:u w:val="single"/>
        </w:rPr>
        <w:t>202</w:t>
      </w:r>
      <w:r>
        <w:rPr>
          <w:rFonts w:hint="eastAsia" w:ascii="Times New Roman" w:hAnsi="Times New Roman"/>
          <w:b w:val="0"/>
          <w:bCs w:val="0"/>
          <w:color w:val="000000"/>
          <w:sz w:val="24"/>
          <w:u w:val="single"/>
        </w:rPr>
        <w:t>1</w:t>
      </w:r>
      <w:r>
        <w:rPr>
          <w:rFonts w:ascii="Times New Roman" w:hAnsi="Times New Roman"/>
          <w:b w:val="0"/>
          <w:bCs w:val="0"/>
          <w:color w:val="000000"/>
          <w:sz w:val="24"/>
          <w:u w:val="single"/>
        </w:rPr>
        <w:t>年</w:t>
      </w:r>
      <w:r>
        <w:rPr>
          <w:rFonts w:hint="eastAsia" w:ascii="Times New Roman" w:hAnsi="Times New Roman"/>
          <w:b w:val="0"/>
          <w:bCs w:val="0"/>
          <w:color w:val="000000"/>
          <w:sz w:val="24"/>
          <w:u w:val="single"/>
          <w:lang w:val="en-US" w:eastAsia="zh-CN"/>
        </w:rPr>
        <w:t>5月28日14:00</w:t>
      </w:r>
      <w:r>
        <w:rPr>
          <w:rFonts w:ascii="Times New Roman" w:hAnsi="Times New Roman"/>
          <w:b w:val="0"/>
          <w:bCs w:val="0"/>
          <w:color w:val="000000"/>
          <w:sz w:val="24"/>
        </w:rPr>
        <w:t xml:space="preserve">。     </w:t>
      </w:r>
    </w:p>
    <w:p>
      <w:pPr>
        <w:pStyle w:val="6"/>
        <w:spacing w:line="360" w:lineRule="auto"/>
        <w:ind w:firstLine="720" w:firstLineChars="300"/>
        <w:rPr>
          <w:rFonts w:ascii="Times New Roman" w:hAnsi="Times New Roman"/>
          <w:b w:val="0"/>
          <w:bCs w:val="0"/>
          <w:color w:val="000000"/>
          <w:sz w:val="24"/>
        </w:rPr>
      </w:pPr>
      <w:r>
        <w:rPr>
          <w:rFonts w:hint="eastAsia" w:ascii="Times New Roman" w:hAnsi="Times New Roman"/>
          <w:b w:val="0"/>
          <w:bCs w:val="0"/>
          <w:color w:val="000000"/>
          <w:sz w:val="24"/>
        </w:rPr>
        <w:t>请潜在供应商</w:t>
      </w:r>
      <w:r>
        <w:rPr>
          <w:rFonts w:ascii="Times New Roman" w:hAnsi="Times New Roman"/>
          <w:b w:val="0"/>
          <w:bCs w:val="0"/>
          <w:color w:val="000000"/>
          <w:sz w:val="24"/>
        </w:rPr>
        <w:t>于202</w:t>
      </w:r>
      <w:r>
        <w:rPr>
          <w:rFonts w:hint="eastAsia" w:ascii="Times New Roman" w:hAnsi="Times New Roman"/>
          <w:b w:val="0"/>
          <w:bCs w:val="0"/>
          <w:color w:val="000000"/>
          <w:sz w:val="24"/>
        </w:rPr>
        <w:t>1</w:t>
      </w:r>
      <w:r>
        <w:rPr>
          <w:rFonts w:ascii="Times New Roman" w:hAnsi="Times New Roman"/>
          <w:b w:val="0"/>
          <w:bCs w:val="0"/>
          <w:color w:val="000000"/>
          <w:sz w:val="24"/>
        </w:rPr>
        <w:t>年</w:t>
      </w:r>
      <w:r>
        <w:rPr>
          <w:rFonts w:hint="eastAsia" w:ascii="Times New Roman" w:hAnsi="Times New Roman"/>
          <w:b w:val="0"/>
          <w:bCs w:val="0"/>
          <w:color w:val="000000"/>
          <w:sz w:val="24"/>
          <w:lang w:val="en-US" w:eastAsia="zh-CN"/>
        </w:rPr>
        <w:t>5月28日14:00</w:t>
      </w:r>
      <w:r>
        <w:rPr>
          <w:rFonts w:ascii="Times New Roman" w:hAnsi="Times New Roman"/>
          <w:b w:val="0"/>
          <w:bCs w:val="0"/>
          <w:color w:val="000000"/>
          <w:sz w:val="24"/>
        </w:rPr>
        <w:t>前送达投标响应文件。</w:t>
      </w:r>
    </w:p>
    <w:p>
      <w:pPr>
        <w:pStyle w:val="6"/>
        <w:spacing w:line="360" w:lineRule="auto"/>
        <w:ind w:firstLine="480" w:firstLineChars="200"/>
        <w:rPr>
          <w:rFonts w:ascii="Times New Roman" w:hAnsi="Times New Roman"/>
          <w:b w:val="0"/>
          <w:bCs w:val="0"/>
          <w:color w:val="000000"/>
          <w:sz w:val="24"/>
        </w:rPr>
      </w:pPr>
      <w:r>
        <w:rPr>
          <w:rFonts w:ascii="Times New Roman" w:hAnsi="Times New Roman"/>
          <w:b w:val="0"/>
          <w:bCs w:val="0"/>
          <w:color w:val="000000"/>
          <w:sz w:val="24"/>
        </w:rPr>
        <w:t>（1）</w:t>
      </w:r>
      <w:r>
        <w:rPr>
          <w:rFonts w:ascii="Times New Roman" w:hAnsi="Times New Roman"/>
          <w:b w:val="0"/>
          <w:bCs w:val="0"/>
          <w:color w:val="000000"/>
          <w:sz w:val="24"/>
          <w:szCs w:val="24"/>
        </w:rPr>
        <w:t>投标文件递交方式：</w:t>
      </w:r>
    </w:p>
    <w:p>
      <w:pPr>
        <w:pStyle w:val="6"/>
        <w:spacing w:line="360" w:lineRule="auto"/>
        <w:ind w:firstLine="480" w:firstLineChars="200"/>
        <w:rPr>
          <w:rFonts w:ascii="Times New Roman" w:hAnsi="Times New Roman"/>
          <w:b w:val="0"/>
          <w:bCs w:val="0"/>
          <w:color w:val="000000"/>
          <w:sz w:val="24"/>
        </w:rPr>
      </w:pPr>
      <w:r>
        <w:rPr>
          <w:rFonts w:ascii="Times New Roman" w:hAnsi="Times New Roman"/>
          <w:b w:val="0"/>
          <w:bCs w:val="0"/>
          <w:color w:val="000000"/>
          <w:sz w:val="24"/>
        </w:rPr>
        <w:t>A、投标文件采用邮寄的投标方式，递交投标文件截止及开标时间以后送达的或破损包装的投标文件不予接收，快递退回。</w:t>
      </w:r>
    </w:p>
    <w:p>
      <w:pPr>
        <w:pStyle w:val="6"/>
        <w:spacing w:line="360" w:lineRule="auto"/>
        <w:ind w:firstLine="480" w:firstLineChars="200"/>
        <w:rPr>
          <w:rFonts w:ascii="Times New Roman" w:hAnsi="Times New Roman"/>
          <w:b w:val="0"/>
          <w:bCs w:val="0"/>
          <w:color w:val="000000"/>
          <w:sz w:val="24"/>
        </w:rPr>
      </w:pPr>
      <w:r>
        <w:rPr>
          <w:rFonts w:ascii="Times New Roman" w:hAnsi="Times New Roman"/>
          <w:b w:val="0"/>
          <w:bCs w:val="0"/>
          <w:color w:val="000000"/>
          <w:sz w:val="24"/>
          <w:szCs w:val="24"/>
          <w:shd w:val="clear" w:color="auto" w:fill="FFFFFF"/>
        </w:rPr>
        <w:t>B</w:t>
      </w:r>
      <w:r>
        <w:rPr>
          <w:rFonts w:ascii="Times New Roman" w:hAnsi="宋体"/>
          <w:b w:val="0"/>
          <w:bCs w:val="0"/>
          <w:color w:val="000000"/>
          <w:sz w:val="24"/>
          <w:szCs w:val="24"/>
          <w:shd w:val="clear" w:color="auto" w:fill="FFFFFF"/>
        </w:rPr>
        <w:t>、投标人当面递交的，开标当天统一接收模式：在开标前</w:t>
      </w:r>
      <w:r>
        <w:rPr>
          <w:rFonts w:ascii="Times New Roman" w:hAnsi="Times New Roman"/>
          <w:b w:val="0"/>
          <w:bCs w:val="0"/>
          <w:color w:val="000000"/>
          <w:sz w:val="24"/>
          <w:szCs w:val="24"/>
          <w:shd w:val="clear" w:color="auto" w:fill="FFFFFF"/>
        </w:rPr>
        <w:t>1</w:t>
      </w:r>
      <w:r>
        <w:rPr>
          <w:rFonts w:ascii="Times New Roman" w:hAnsi="宋体"/>
          <w:b w:val="0"/>
          <w:bCs w:val="0"/>
          <w:color w:val="000000"/>
          <w:sz w:val="24"/>
          <w:szCs w:val="24"/>
          <w:shd w:val="clear" w:color="auto" w:fill="FFFFFF"/>
        </w:rPr>
        <w:t>小时内，投标人直接将投标文件送至</w:t>
      </w:r>
      <w:r>
        <w:rPr>
          <w:rFonts w:hint="eastAsia" w:ascii="Times New Roman" w:hAnsi="宋体"/>
          <w:b w:val="0"/>
          <w:bCs w:val="0"/>
          <w:color w:val="000000"/>
          <w:sz w:val="24"/>
          <w:szCs w:val="24"/>
          <w:shd w:val="clear" w:color="auto" w:fill="FFFFFF"/>
        </w:rPr>
        <w:t>义乌市妇幼保健院</w:t>
      </w:r>
      <w:r>
        <w:rPr>
          <w:rFonts w:ascii="Times New Roman" w:hAnsi="Times New Roman"/>
          <w:b w:val="0"/>
          <w:bCs w:val="0"/>
          <w:color w:val="000000"/>
          <w:sz w:val="24"/>
        </w:rPr>
        <w:t>。</w:t>
      </w:r>
    </w:p>
    <w:p>
      <w:pPr>
        <w:pStyle w:val="6"/>
        <w:spacing w:line="360" w:lineRule="auto"/>
        <w:ind w:firstLine="480" w:firstLineChars="200"/>
        <w:rPr>
          <w:rFonts w:hint="eastAsia" w:ascii="Times New Roman" w:hAnsi="Times New Roman"/>
          <w:b w:val="0"/>
          <w:bCs w:val="0"/>
          <w:color w:val="000000"/>
          <w:sz w:val="24"/>
        </w:rPr>
      </w:pPr>
      <w:r>
        <w:rPr>
          <w:rFonts w:ascii="Times New Roman" w:hAnsi="Times New Roman"/>
          <w:b w:val="0"/>
          <w:bCs w:val="0"/>
          <w:color w:val="000000"/>
          <w:sz w:val="24"/>
        </w:rPr>
        <w:t>地址：</w:t>
      </w:r>
      <w:r>
        <w:rPr>
          <w:rFonts w:hint="eastAsia" w:ascii="Times New Roman" w:hAnsi="Times New Roman"/>
          <w:b w:val="0"/>
          <w:bCs w:val="0"/>
          <w:color w:val="000000"/>
          <w:sz w:val="24"/>
        </w:rPr>
        <w:t>义乌市妇幼保健院行政三楼采招办（义乌市新科路c100）</w:t>
      </w:r>
    </w:p>
    <w:p>
      <w:pPr>
        <w:pStyle w:val="6"/>
        <w:spacing w:line="360" w:lineRule="auto"/>
        <w:ind w:firstLine="480" w:firstLineChars="200"/>
        <w:rPr>
          <w:rFonts w:hint="eastAsia" w:ascii="Times New Roman" w:hAnsi="Times New Roman"/>
          <w:b w:val="0"/>
          <w:bCs w:val="0"/>
          <w:color w:val="000000"/>
          <w:sz w:val="24"/>
        </w:rPr>
      </w:pPr>
      <w:r>
        <w:rPr>
          <w:rFonts w:ascii="Times New Roman" w:hAnsi="Times New Roman"/>
          <w:b w:val="0"/>
          <w:bCs w:val="0"/>
          <w:color w:val="000000"/>
          <w:sz w:val="24"/>
        </w:rPr>
        <w:t>收件人：</w:t>
      </w:r>
      <w:r>
        <w:rPr>
          <w:rFonts w:hint="eastAsia" w:ascii="Times New Roman" w:hAnsi="Times New Roman"/>
          <w:b w:val="0"/>
          <w:bCs w:val="0"/>
          <w:color w:val="000000"/>
          <w:sz w:val="24"/>
        </w:rPr>
        <w:t>杜燕萍</w:t>
      </w:r>
      <w:r>
        <w:rPr>
          <w:rFonts w:ascii="Times New Roman" w:hAnsi="Times New Roman"/>
          <w:b w:val="0"/>
          <w:bCs w:val="0"/>
          <w:color w:val="000000"/>
          <w:sz w:val="24"/>
        </w:rPr>
        <w:t xml:space="preserve">       联系方式：0579-8</w:t>
      </w:r>
      <w:r>
        <w:rPr>
          <w:rFonts w:hint="eastAsia" w:ascii="Times New Roman" w:hAnsi="Times New Roman"/>
          <w:b w:val="0"/>
          <w:bCs w:val="0"/>
          <w:color w:val="000000"/>
          <w:sz w:val="24"/>
        </w:rPr>
        <w:t>3803211</w:t>
      </w:r>
    </w:p>
    <w:p>
      <w:pPr>
        <w:pStyle w:val="6"/>
        <w:spacing w:line="360" w:lineRule="auto"/>
        <w:ind w:firstLine="480" w:firstLineChars="200"/>
        <w:rPr>
          <w:rFonts w:ascii="Times New Roman" w:hAnsi="Times New Roman"/>
          <w:b w:val="0"/>
          <w:bCs w:val="0"/>
          <w:color w:val="000000"/>
          <w:sz w:val="24"/>
        </w:rPr>
      </w:pPr>
      <w:r>
        <w:rPr>
          <w:rFonts w:ascii="Times New Roman" w:hAnsi="Times New Roman"/>
          <w:b w:val="0"/>
          <w:bCs w:val="0"/>
          <w:color w:val="000000"/>
          <w:sz w:val="24"/>
        </w:rPr>
        <w:t>（2）</w:t>
      </w:r>
      <w:r>
        <w:rPr>
          <w:rFonts w:ascii="Times New Roman" w:hAnsi="Times New Roman"/>
          <w:b w:val="0"/>
          <w:bCs w:val="0"/>
          <w:color w:val="000000"/>
          <w:sz w:val="24"/>
          <w:szCs w:val="24"/>
        </w:rPr>
        <w:t>投标文件采用两层包装，即投标文件按招标文件要求包装后再进行外包装，外包装封格式详见邮寄附件。请各投标人确保密封包装在邮寄过程密封包装完好，因邮寄过程的密封破损造成不符合开标要求的，招标人概不负责。建议投标文件包装后邮寄时再进行外包装。供应商对邮寄快递招标、采购文件的完整性、密封性负责。</w:t>
      </w:r>
    </w:p>
    <w:p>
      <w:pPr>
        <w:spacing w:line="440" w:lineRule="exact"/>
        <w:rPr>
          <w:rFonts w:hint="eastAsia" w:ascii="宋体" w:hAnsi="宋体"/>
          <w:b w:val="0"/>
          <w:bCs w:val="0"/>
          <w:color w:val="000000"/>
          <w:sz w:val="24"/>
        </w:rPr>
      </w:pPr>
      <w:r>
        <w:rPr>
          <w:rFonts w:hint="eastAsia" w:ascii="宋体" w:hAnsi="宋体"/>
          <w:b w:val="0"/>
          <w:bCs w:val="0"/>
          <w:color w:val="000000"/>
          <w:sz w:val="24"/>
          <w:lang w:eastAsia="zh-CN"/>
        </w:rPr>
        <w:t>十三、</w:t>
      </w:r>
      <w:r>
        <w:rPr>
          <w:rFonts w:hint="eastAsia" w:ascii="宋体" w:hAnsi="宋体"/>
          <w:b w:val="0"/>
          <w:bCs w:val="0"/>
          <w:color w:val="000000"/>
          <w:sz w:val="24"/>
        </w:rPr>
        <w:t>联系地址和电话：</w:t>
      </w:r>
    </w:p>
    <w:p>
      <w:pPr>
        <w:spacing w:line="440" w:lineRule="exact"/>
        <w:rPr>
          <w:rFonts w:ascii="宋体" w:hAnsi="宋体"/>
          <w:b w:val="0"/>
          <w:bCs w:val="0"/>
          <w:color w:val="000000"/>
          <w:sz w:val="24"/>
        </w:rPr>
      </w:pPr>
      <w:r>
        <w:rPr>
          <w:rFonts w:hint="eastAsia" w:ascii="宋体" w:hAnsi="宋体"/>
          <w:b w:val="0"/>
          <w:bCs w:val="0"/>
          <w:color w:val="000000"/>
          <w:sz w:val="24"/>
        </w:rPr>
        <w:t xml:space="preserve">   联系人及电话： 杜燕萍              0579-83803211</w:t>
      </w:r>
    </w:p>
    <w:p>
      <w:pPr>
        <w:spacing w:line="440" w:lineRule="exact"/>
        <w:ind w:firstLine="360" w:firstLineChars="150"/>
        <w:rPr>
          <w:rFonts w:hint="eastAsia" w:ascii="宋体" w:hAnsi="宋体"/>
          <w:b w:val="0"/>
          <w:bCs w:val="0"/>
          <w:color w:val="000000"/>
          <w:sz w:val="24"/>
        </w:rPr>
      </w:pPr>
      <w:r>
        <w:rPr>
          <w:rFonts w:hint="eastAsia" w:ascii="宋体" w:hAnsi="宋体"/>
          <w:b w:val="0"/>
          <w:bCs w:val="0"/>
          <w:color w:val="000000"/>
          <w:sz w:val="24"/>
        </w:rPr>
        <w:t>详细地址：义乌市妇幼保健院</w:t>
      </w:r>
      <w:r>
        <w:rPr>
          <w:rFonts w:ascii="宋体" w:hAnsi="宋体"/>
          <w:b w:val="0"/>
          <w:bCs w:val="0"/>
          <w:color w:val="000000"/>
          <w:sz w:val="24"/>
        </w:rPr>
        <w:t>行政楼三楼</w:t>
      </w:r>
      <w:r>
        <w:rPr>
          <w:rFonts w:hint="eastAsia" w:ascii="宋体" w:hAnsi="宋体"/>
          <w:b w:val="0"/>
          <w:bCs w:val="0"/>
          <w:color w:val="000000"/>
          <w:sz w:val="24"/>
        </w:rPr>
        <w:t>采招办（</w:t>
      </w:r>
      <w:r>
        <w:rPr>
          <w:rFonts w:ascii="宋体" w:hAnsi="宋体"/>
          <w:b w:val="0"/>
          <w:bCs w:val="0"/>
          <w:color w:val="000000"/>
          <w:sz w:val="24"/>
        </w:rPr>
        <w:t>义乌市新科路c100</w:t>
      </w:r>
      <w:r>
        <w:rPr>
          <w:rFonts w:hint="eastAsia" w:ascii="宋体" w:hAnsi="宋体"/>
          <w:b w:val="0"/>
          <w:bCs w:val="0"/>
          <w:color w:val="000000"/>
          <w:sz w:val="24"/>
        </w:rPr>
        <w:t xml:space="preserve">） </w:t>
      </w:r>
    </w:p>
    <w:p>
      <w:pPr>
        <w:widowControl/>
        <w:spacing w:line="420" w:lineRule="atLeast"/>
        <w:rPr>
          <w:rFonts w:ascii="宋体" w:hAnsi="宋体"/>
          <w:b w:val="0"/>
          <w:bCs w:val="0"/>
          <w:sz w:val="24"/>
        </w:rPr>
      </w:pPr>
      <w:r>
        <w:rPr>
          <w:rFonts w:ascii="宋体" w:hAnsi="宋体"/>
          <w:b w:val="0"/>
          <w:bCs w:val="0"/>
          <w:sz w:val="24"/>
        </w:rPr>
        <w:t>十</w:t>
      </w:r>
      <w:r>
        <w:rPr>
          <w:rFonts w:hint="eastAsia" w:ascii="宋体" w:hAnsi="宋体"/>
          <w:b w:val="0"/>
          <w:bCs w:val="0"/>
          <w:sz w:val="24"/>
          <w:lang w:eastAsia="zh-CN"/>
        </w:rPr>
        <w:t>四、</w:t>
      </w:r>
      <w:r>
        <w:rPr>
          <w:rFonts w:ascii="宋体" w:hAnsi="宋体"/>
          <w:b w:val="0"/>
          <w:bCs w:val="0"/>
          <w:sz w:val="24"/>
        </w:rPr>
        <w:t>其他</w:t>
      </w:r>
    </w:p>
    <w:p>
      <w:pPr>
        <w:widowControl/>
        <w:spacing w:line="420" w:lineRule="atLeast"/>
        <w:rPr>
          <w:rFonts w:ascii="宋体" w:hAnsi="宋体"/>
          <w:b w:val="0"/>
          <w:bCs w:val="0"/>
          <w:sz w:val="24"/>
        </w:rPr>
      </w:pPr>
      <w:r>
        <w:rPr>
          <w:rFonts w:hint="eastAsia" w:ascii="宋体" w:hAnsi="宋体"/>
          <w:b w:val="0"/>
          <w:bCs w:val="0"/>
          <w:sz w:val="24"/>
        </w:rPr>
        <w:t xml:space="preserve"> </w:t>
      </w:r>
      <w:r>
        <w:rPr>
          <w:rFonts w:ascii="宋体" w:hAnsi="宋体"/>
          <w:b w:val="0"/>
          <w:bCs w:val="0"/>
          <w:sz w:val="24"/>
        </w:rPr>
        <w:t xml:space="preserve">   1</w:t>
      </w:r>
      <w:r>
        <w:rPr>
          <w:rFonts w:hint="eastAsia" w:ascii="宋体" w:hAnsi="宋体"/>
          <w:b w:val="0"/>
          <w:bCs w:val="0"/>
          <w:sz w:val="24"/>
        </w:rPr>
        <w:t>、</w:t>
      </w:r>
      <w:r>
        <w:rPr>
          <w:rFonts w:ascii="宋体" w:hAnsi="宋体"/>
          <w:b w:val="0"/>
          <w:bCs w:val="0"/>
          <w:sz w:val="24"/>
        </w:rPr>
        <w:t>“★”标记系指必须满足不能负偏离或必须应答的条款。如不能响应</w:t>
      </w:r>
      <w:r>
        <w:rPr>
          <w:rFonts w:hint="eastAsia" w:ascii="宋体" w:hAnsi="宋体"/>
          <w:b w:val="0"/>
          <w:bCs w:val="0"/>
          <w:sz w:val="24"/>
        </w:rPr>
        <w:t>，</w:t>
      </w:r>
      <w:r>
        <w:rPr>
          <w:rFonts w:ascii="宋体" w:hAnsi="宋体"/>
          <w:b w:val="0"/>
          <w:bCs w:val="0"/>
          <w:sz w:val="24"/>
        </w:rPr>
        <w:t>作废标处理</w:t>
      </w:r>
      <w:r>
        <w:rPr>
          <w:rFonts w:hint="eastAsia" w:ascii="宋体" w:hAnsi="宋体"/>
          <w:b w:val="0"/>
          <w:bCs w:val="0"/>
          <w:sz w:val="24"/>
        </w:rPr>
        <w:t>。</w:t>
      </w:r>
    </w:p>
    <w:p>
      <w:pPr>
        <w:widowControl/>
        <w:spacing w:line="420" w:lineRule="atLeast"/>
        <w:ind w:firstLine="480"/>
        <w:rPr>
          <w:rFonts w:ascii="宋体" w:hAnsi="宋体" w:cs="宋体"/>
          <w:b w:val="0"/>
          <w:bCs w:val="0"/>
          <w:kern w:val="0"/>
          <w:sz w:val="24"/>
          <w:szCs w:val="24"/>
        </w:rPr>
      </w:pPr>
    </w:p>
    <w:p>
      <w:pPr>
        <w:widowControl/>
        <w:spacing w:line="420" w:lineRule="atLeast"/>
        <w:ind w:firstLine="480"/>
        <w:rPr>
          <w:rFonts w:ascii="宋体" w:hAnsi="宋体" w:cs="宋体"/>
          <w:kern w:val="0"/>
          <w:sz w:val="24"/>
          <w:szCs w:val="24"/>
        </w:rPr>
      </w:pPr>
    </w:p>
    <w:p>
      <w:pPr>
        <w:spacing w:line="360" w:lineRule="auto"/>
        <w:ind w:firstLine="2570" w:firstLineChars="800"/>
        <w:jc w:val="both"/>
        <w:rPr>
          <w:rFonts w:ascii="宋体" w:hAnsi="宋体"/>
          <w:b/>
          <w:sz w:val="32"/>
          <w:szCs w:val="32"/>
        </w:rPr>
      </w:pPr>
      <w:r>
        <w:rPr>
          <w:rFonts w:hint="eastAsia" w:ascii="宋体" w:hAnsi="宋体"/>
          <w:b/>
          <w:sz w:val="32"/>
          <w:szCs w:val="32"/>
        </w:rPr>
        <w:t>第二章   项目概况及要求</w:t>
      </w:r>
    </w:p>
    <w:p>
      <w:pPr>
        <w:spacing w:line="360" w:lineRule="auto"/>
        <w:ind w:firstLine="482" w:firstLineChars="200"/>
        <w:rPr>
          <w:rFonts w:ascii="宋体" w:hAnsi="宋体"/>
          <w:b/>
          <w:sz w:val="24"/>
          <w:szCs w:val="24"/>
        </w:rPr>
      </w:pPr>
      <w:r>
        <w:rPr>
          <w:rFonts w:ascii="宋体" w:hAnsi="宋体"/>
          <w:b/>
          <w:sz w:val="24"/>
          <w:szCs w:val="24"/>
        </w:rPr>
        <w:t>一</w:t>
      </w:r>
      <w:r>
        <w:rPr>
          <w:rFonts w:hint="eastAsia" w:ascii="宋体" w:hAnsi="宋体"/>
          <w:b/>
          <w:sz w:val="24"/>
          <w:szCs w:val="24"/>
        </w:rPr>
        <w:t>、</w:t>
      </w:r>
      <w:r>
        <w:rPr>
          <w:rFonts w:ascii="宋体" w:hAnsi="宋体"/>
          <w:b/>
          <w:sz w:val="24"/>
          <w:szCs w:val="24"/>
        </w:rPr>
        <w:t>项目概况</w:t>
      </w:r>
    </w:p>
    <w:p>
      <w:pPr>
        <w:spacing w:line="360" w:lineRule="auto"/>
        <w:ind w:firstLine="480" w:firstLineChars="200"/>
        <w:rPr>
          <w:rFonts w:ascii="宋体" w:hAnsi="宋体"/>
          <w:sz w:val="24"/>
          <w:szCs w:val="24"/>
        </w:rPr>
      </w:pPr>
      <w:r>
        <w:rPr>
          <w:rFonts w:ascii="宋体" w:hAnsi="宋体"/>
          <w:sz w:val="24"/>
          <w:szCs w:val="24"/>
        </w:rPr>
        <w:t>1.项目地点：义乌市妇幼保健院（</w:t>
      </w:r>
      <w:r>
        <w:rPr>
          <w:rFonts w:hint="eastAsia" w:ascii="宋体" w:hAnsi="宋体"/>
          <w:sz w:val="24"/>
          <w:szCs w:val="24"/>
        </w:rPr>
        <w:t>义乌市新科路C100号</w:t>
      </w:r>
      <w:r>
        <w:rPr>
          <w:rFonts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2.建筑规模:</w:t>
      </w:r>
      <w:r>
        <w:rPr>
          <w:rFonts w:hint="eastAsia"/>
        </w:rPr>
        <w:t xml:space="preserve"> </w:t>
      </w:r>
      <w:r>
        <w:rPr>
          <w:rFonts w:hint="eastAsia" w:ascii="宋体" w:hAnsi="宋体"/>
          <w:sz w:val="24"/>
          <w:szCs w:val="24"/>
        </w:rPr>
        <w:t>义乌市妇幼保健院位于义乌市稠江街道新科路C100号，工程于2019年底竣工并投入使用。规划用地面积52635.04平米，总建筑面积107448平米，概算总投资5.3163亿元。建筑主体分为的医疗综合楼和后勤综合楼，其中医疗综合楼为地下二层，地上十二层，建筑高度54.90米，地上部分以医疗、住院部为主, 共设床位600张，地下部分为汽车库、食堂、餐厅，药品储存室等，局部地下室为战时五级人防医疗救护站和五级专业队队员掩蔽部，地下建筑面积38000 m2，人防面积3308.36平米，设置800个地下停车位。后勤综合楼地上五层为多层建筑，建筑高度26.50米，功能以、办公、住宿为主。</w:t>
      </w:r>
    </w:p>
    <w:p>
      <w:pPr>
        <w:spacing w:line="360" w:lineRule="auto"/>
        <w:ind w:firstLine="482" w:firstLineChars="200"/>
        <w:rPr>
          <w:rFonts w:ascii="宋体" w:hAnsi="宋体"/>
          <w:b/>
          <w:sz w:val="24"/>
          <w:szCs w:val="24"/>
        </w:rPr>
      </w:pPr>
      <w:r>
        <w:rPr>
          <w:rFonts w:hint="eastAsia" w:ascii="宋体" w:hAnsi="宋体"/>
          <w:b/>
          <w:sz w:val="24"/>
          <w:szCs w:val="24"/>
        </w:rPr>
        <w:t>二、</w:t>
      </w:r>
      <w:r>
        <w:rPr>
          <w:rFonts w:ascii="宋体" w:hAnsi="宋体"/>
          <w:b/>
          <w:sz w:val="24"/>
          <w:szCs w:val="24"/>
        </w:rPr>
        <w:t>招标范围</w:t>
      </w:r>
    </w:p>
    <w:p>
      <w:pPr>
        <w:spacing w:line="360" w:lineRule="auto"/>
        <w:ind w:firstLine="480" w:firstLineChars="200"/>
        <w:rPr>
          <w:rFonts w:ascii="宋体" w:hAnsi="宋体"/>
          <w:sz w:val="24"/>
          <w:szCs w:val="24"/>
        </w:rPr>
      </w:pPr>
      <w:r>
        <w:rPr>
          <w:rFonts w:ascii="宋体" w:hAnsi="宋体"/>
          <w:sz w:val="24"/>
          <w:szCs w:val="24"/>
        </w:rPr>
        <w:t>医院范围内全部消防系统设施维护保养</w:t>
      </w:r>
      <w:r>
        <w:rPr>
          <w:rFonts w:hint="eastAsia" w:ascii="宋体" w:hAnsi="宋体"/>
          <w:sz w:val="24"/>
          <w:szCs w:val="24"/>
        </w:rPr>
        <w:t>。</w:t>
      </w:r>
    </w:p>
    <w:p>
      <w:pPr>
        <w:spacing w:line="360" w:lineRule="auto"/>
        <w:ind w:firstLine="482" w:firstLineChars="200"/>
        <w:rPr>
          <w:rFonts w:ascii="宋体" w:hAnsi="宋体"/>
          <w:b/>
          <w:sz w:val="24"/>
          <w:szCs w:val="24"/>
        </w:rPr>
      </w:pPr>
      <w:r>
        <w:rPr>
          <w:rFonts w:hint="eastAsia" w:ascii="宋体" w:hAnsi="宋体"/>
          <w:b/>
          <w:sz w:val="24"/>
          <w:szCs w:val="24"/>
        </w:rPr>
        <w:t>三、</w:t>
      </w:r>
      <w:r>
        <w:rPr>
          <w:rFonts w:ascii="宋体" w:hAnsi="宋体"/>
          <w:b/>
          <w:sz w:val="24"/>
          <w:szCs w:val="24"/>
        </w:rPr>
        <w:t>维保内容</w:t>
      </w:r>
    </w:p>
    <w:p>
      <w:pPr>
        <w:spacing w:line="360" w:lineRule="auto"/>
        <w:ind w:firstLine="480" w:firstLineChars="200"/>
        <w:rPr>
          <w:rFonts w:ascii="宋体" w:hAnsi="宋体"/>
          <w:sz w:val="24"/>
          <w:szCs w:val="24"/>
        </w:rPr>
      </w:pPr>
      <w:r>
        <w:rPr>
          <w:rFonts w:hint="eastAsia" w:ascii="宋体" w:hAnsi="宋体"/>
          <w:sz w:val="24"/>
          <w:szCs w:val="24"/>
        </w:rPr>
        <w:t>A、</w:t>
      </w:r>
      <w:r>
        <w:rPr>
          <w:rFonts w:ascii="宋体" w:hAnsi="宋体"/>
          <w:sz w:val="24"/>
          <w:szCs w:val="24"/>
        </w:rPr>
        <w:t>火灾自动报警及联动控制系统（包括消防广播、消防电话、声光报警、手动报警按钮、火灾事故照明系统等相关联动控制系统）。</w:t>
      </w:r>
    </w:p>
    <w:p>
      <w:pPr>
        <w:spacing w:line="360" w:lineRule="auto"/>
        <w:ind w:firstLine="480" w:firstLineChars="200"/>
        <w:rPr>
          <w:rFonts w:ascii="宋体" w:hAnsi="宋体"/>
          <w:sz w:val="24"/>
          <w:szCs w:val="24"/>
        </w:rPr>
      </w:pPr>
      <w:r>
        <w:rPr>
          <w:rFonts w:ascii="宋体" w:hAnsi="宋体"/>
          <w:sz w:val="24"/>
          <w:szCs w:val="24"/>
        </w:rPr>
        <w:t>B</w:t>
      </w:r>
      <w:r>
        <w:rPr>
          <w:rFonts w:hint="eastAsia" w:ascii="宋体" w:hAnsi="宋体"/>
          <w:sz w:val="24"/>
          <w:szCs w:val="24"/>
        </w:rPr>
        <w:t>、</w:t>
      </w:r>
      <w:r>
        <w:rPr>
          <w:rFonts w:ascii="宋体" w:hAnsi="宋体"/>
          <w:sz w:val="24"/>
          <w:szCs w:val="24"/>
        </w:rPr>
        <w:t>自动喷水灭火系统（含大空间智能喷水灭火）。</w:t>
      </w:r>
    </w:p>
    <w:p>
      <w:pPr>
        <w:spacing w:line="360" w:lineRule="auto"/>
        <w:ind w:firstLine="480" w:firstLineChars="200"/>
        <w:rPr>
          <w:rFonts w:ascii="宋体" w:hAnsi="宋体"/>
          <w:sz w:val="24"/>
          <w:szCs w:val="24"/>
        </w:rPr>
      </w:pPr>
      <w:r>
        <w:rPr>
          <w:rFonts w:ascii="宋体" w:hAnsi="宋体"/>
          <w:sz w:val="24"/>
          <w:szCs w:val="24"/>
        </w:rPr>
        <w:t>C、消火栓系统（含室外给水系统）。</w:t>
      </w:r>
    </w:p>
    <w:p>
      <w:pPr>
        <w:spacing w:line="360" w:lineRule="auto"/>
        <w:ind w:firstLine="480" w:firstLineChars="200"/>
        <w:rPr>
          <w:rFonts w:ascii="宋体" w:hAnsi="宋体"/>
          <w:sz w:val="24"/>
          <w:szCs w:val="24"/>
        </w:rPr>
      </w:pPr>
      <w:r>
        <w:rPr>
          <w:rFonts w:ascii="宋体" w:hAnsi="宋体"/>
          <w:sz w:val="24"/>
          <w:szCs w:val="24"/>
        </w:rPr>
        <w:t>D、防火分隔（防火卷帘门、挡烟垂壁）。</w:t>
      </w:r>
    </w:p>
    <w:p>
      <w:pPr>
        <w:spacing w:line="360" w:lineRule="auto"/>
        <w:ind w:firstLine="480" w:firstLineChars="200"/>
        <w:rPr>
          <w:rFonts w:ascii="宋体" w:hAnsi="宋体"/>
          <w:sz w:val="24"/>
          <w:szCs w:val="24"/>
        </w:rPr>
      </w:pPr>
      <w:r>
        <w:rPr>
          <w:rFonts w:ascii="宋体" w:hAnsi="宋体"/>
          <w:sz w:val="24"/>
          <w:szCs w:val="24"/>
        </w:rPr>
        <w:t>E、气体灭火系统。</w:t>
      </w:r>
    </w:p>
    <w:p>
      <w:pPr>
        <w:spacing w:line="360" w:lineRule="auto"/>
        <w:ind w:firstLine="480" w:firstLineChars="200"/>
        <w:rPr>
          <w:rFonts w:ascii="宋体" w:hAnsi="宋体"/>
          <w:sz w:val="24"/>
          <w:szCs w:val="24"/>
        </w:rPr>
      </w:pPr>
      <w:r>
        <w:rPr>
          <w:rFonts w:hint="eastAsia" w:ascii="宋体" w:hAnsi="宋体"/>
          <w:sz w:val="24"/>
          <w:szCs w:val="24"/>
          <w:lang w:val="en-US" w:eastAsia="zh-CN"/>
        </w:rPr>
        <w:t>F.</w:t>
      </w:r>
      <w:r>
        <w:rPr>
          <w:rFonts w:ascii="宋体" w:hAnsi="宋体"/>
          <w:sz w:val="24"/>
          <w:szCs w:val="24"/>
        </w:rPr>
        <w:t xml:space="preserve">排烟系统。                                                                                                      </w:t>
      </w:r>
    </w:p>
    <w:p>
      <w:pPr>
        <w:spacing w:line="360" w:lineRule="auto"/>
        <w:ind w:firstLine="482" w:firstLineChars="200"/>
        <w:rPr>
          <w:rFonts w:ascii="宋体" w:hAnsi="宋体"/>
          <w:b/>
          <w:sz w:val="24"/>
          <w:szCs w:val="24"/>
        </w:rPr>
      </w:pPr>
      <w:r>
        <w:rPr>
          <w:rFonts w:hint="eastAsia" w:ascii="宋体" w:hAnsi="宋体"/>
          <w:b/>
          <w:sz w:val="24"/>
          <w:szCs w:val="24"/>
        </w:rPr>
        <w:t>四、</w:t>
      </w:r>
      <w:r>
        <w:rPr>
          <w:rFonts w:ascii="宋体" w:hAnsi="宋体"/>
          <w:b/>
          <w:sz w:val="24"/>
          <w:szCs w:val="24"/>
        </w:rPr>
        <w:t xml:space="preserve">维保实施方案 </w:t>
      </w:r>
    </w:p>
    <w:p>
      <w:pPr>
        <w:spacing w:line="360" w:lineRule="auto"/>
        <w:rPr>
          <w:rFonts w:ascii="宋体" w:hAnsi="宋体" w:cs="仿宋_GB2312"/>
          <w:b/>
          <w:bCs/>
          <w:sz w:val="24"/>
          <w:szCs w:val="24"/>
        </w:rPr>
      </w:pPr>
      <w:r>
        <w:rPr>
          <w:rFonts w:ascii="宋体" w:hAnsi="宋体"/>
          <w:sz w:val="24"/>
          <w:szCs w:val="24"/>
        </w:rPr>
        <w:t xml:space="preserve">    </w:t>
      </w:r>
      <w:r>
        <w:rPr>
          <w:rFonts w:ascii="宋体" w:hAnsi="宋体" w:cs="仿宋_GB2312"/>
          <w:b/>
          <w:bCs/>
          <w:sz w:val="24"/>
          <w:szCs w:val="24"/>
        </w:rPr>
        <w:t>（一）</w:t>
      </w:r>
      <w:r>
        <w:rPr>
          <w:rFonts w:hint="eastAsia" w:ascii="宋体" w:hAnsi="宋体" w:cs="仿宋_GB2312"/>
          <w:b/>
          <w:bCs/>
          <w:sz w:val="24"/>
          <w:szCs w:val="24"/>
        </w:rPr>
        <w:t>海湾5000火灾自动报警联动控制系统</w:t>
      </w:r>
    </w:p>
    <w:p>
      <w:pPr>
        <w:spacing w:line="360" w:lineRule="auto"/>
        <w:ind w:firstLine="480" w:firstLineChars="200"/>
        <w:rPr>
          <w:rFonts w:ascii="宋体" w:hAnsi="宋体" w:cs="仿宋_GB2312"/>
          <w:sz w:val="24"/>
          <w:szCs w:val="24"/>
        </w:rPr>
      </w:pPr>
      <w:r>
        <w:rPr>
          <w:rFonts w:ascii="宋体" w:hAnsi="宋体" w:cs="仿宋_GB2312"/>
          <w:sz w:val="24"/>
          <w:szCs w:val="24"/>
        </w:rPr>
        <w:t>1、每月采用专用检测仪器分批试验探测器、手动报警按钮、声光报警器等的动作显示是否正常。</w:t>
      </w:r>
    </w:p>
    <w:p>
      <w:pPr>
        <w:spacing w:line="360" w:lineRule="auto"/>
        <w:ind w:firstLine="480" w:firstLineChars="200"/>
        <w:rPr>
          <w:rFonts w:ascii="宋体" w:hAnsi="宋体" w:cs="仿宋_GB2312"/>
          <w:sz w:val="24"/>
          <w:szCs w:val="24"/>
        </w:rPr>
      </w:pPr>
      <w:r>
        <w:rPr>
          <w:rFonts w:ascii="宋体" w:hAnsi="宋体" w:cs="仿宋_GB2312"/>
          <w:sz w:val="24"/>
          <w:szCs w:val="24"/>
        </w:rPr>
        <w:t>2、每月对水流指示器、压力开关进行报警功能试验。</w:t>
      </w:r>
    </w:p>
    <w:p>
      <w:pPr>
        <w:spacing w:line="360" w:lineRule="auto"/>
        <w:ind w:firstLine="480" w:firstLineChars="200"/>
        <w:rPr>
          <w:rFonts w:ascii="宋体" w:hAnsi="宋体" w:cs="仿宋_GB2312"/>
          <w:sz w:val="24"/>
          <w:szCs w:val="24"/>
        </w:rPr>
      </w:pPr>
      <w:r>
        <w:rPr>
          <w:rFonts w:ascii="宋体" w:hAnsi="宋体" w:cs="仿宋_GB2312"/>
          <w:sz w:val="24"/>
          <w:szCs w:val="24"/>
        </w:rPr>
        <w:t>3、每月对联动控制设备进行联动试验。</w:t>
      </w:r>
    </w:p>
    <w:p>
      <w:pPr>
        <w:spacing w:line="360" w:lineRule="auto"/>
        <w:ind w:firstLine="480" w:firstLineChars="200"/>
        <w:rPr>
          <w:rFonts w:ascii="宋体" w:hAnsi="宋体" w:cs="仿宋_GB2312"/>
          <w:sz w:val="24"/>
          <w:szCs w:val="24"/>
        </w:rPr>
      </w:pPr>
      <w:r>
        <w:rPr>
          <w:rFonts w:ascii="宋体" w:hAnsi="宋体" w:cs="仿宋_GB2312"/>
          <w:sz w:val="24"/>
          <w:szCs w:val="24"/>
        </w:rPr>
        <w:t>4、每月对备用电源进行一次充放电试验，一次主备电切换试验。</w:t>
      </w:r>
    </w:p>
    <w:p>
      <w:pPr>
        <w:spacing w:line="360" w:lineRule="auto"/>
        <w:ind w:firstLine="482" w:firstLineChars="200"/>
        <w:rPr>
          <w:rFonts w:ascii="宋体" w:hAnsi="宋体" w:cs="仿宋_GB2312"/>
          <w:b/>
          <w:bCs/>
          <w:sz w:val="24"/>
          <w:szCs w:val="24"/>
        </w:rPr>
      </w:pPr>
      <w:r>
        <w:rPr>
          <w:rFonts w:ascii="宋体" w:hAnsi="宋体" w:cs="仿宋_GB2312"/>
          <w:b/>
          <w:bCs/>
          <w:sz w:val="24"/>
          <w:szCs w:val="24"/>
        </w:rPr>
        <w:t>（二）自动喷水灭火系统</w:t>
      </w:r>
    </w:p>
    <w:p>
      <w:pPr>
        <w:spacing w:line="360" w:lineRule="auto"/>
        <w:ind w:firstLine="480" w:firstLineChars="200"/>
        <w:rPr>
          <w:rFonts w:ascii="宋体" w:hAnsi="宋体" w:cs="仿宋_GB2312"/>
          <w:sz w:val="24"/>
          <w:szCs w:val="24"/>
        </w:rPr>
      </w:pPr>
      <w:r>
        <w:rPr>
          <w:rFonts w:ascii="宋体" w:hAnsi="宋体" w:cs="仿宋_GB2312"/>
          <w:sz w:val="24"/>
          <w:szCs w:val="24"/>
        </w:rPr>
        <w:t>1、每月检查一次消防系统的水压、水箱水位，确认消防系统的水压、水位是否正常。</w:t>
      </w:r>
    </w:p>
    <w:p>
      <w:pPr>
        <w:spacing w:line="360" w:lineRule="auto"/>
        <w:ind w:firstLine="480" w:firstLineChars="200"/>
        <w:rPr>
          <w:rFonts w:ascii="宋体" w:hAnsi="宋体" w:cs="仿宋_GB2312"/>
          <w:sz w:val="24"/>
          <w:szCs w:val="24"/>
        </w:rPr>
      </w:pPr>
      <w:r>
        <w:rPr>
          <w:rFonts w:ascii="宋体" w:hAnsi="宋体" w:cs="仿宋_GB2312"/>
          <w:sz w:val="24"/>
          <w:szCs w:val="24"/>
        </w:rPr>
        <w:t>2、每月对消防水泵接合器的接口及附件检查，确认所有控制阀门是否处于开启状态。</w:t>
      </w:r>
    </w:p>
    <w:p>
      <w:pPr>
        <w:spacing w:line="360" w:lineRule="auto"/>
        <w:ind w:firstLine="480" w:firstLineChars="200"/>
        <w:rPr>
          <w:rFonts w:ascii="宋体" w:hAnsi="宋体" w:cs="仿宋_GB2312"/>
          <w:sz w:val="24"/>
          <w:szCs w:val="24"/>
        </w:rPr>
      </w:pPr>
      <w:r>
        <w:rPr>
          <w:rFonts w:ascii="宋体" w:hAnsi="宋体" w:cs="仿宋_GB2312"/>
          <w:sz w:val="24"/>
          <w:szCs w:val="24"/>
        </w:rPr>
        <w:t>3、每月对消防水泵接合器的接口及附件检查一次，确认接口是否完好、无渗漏、闷盖齐全。</w:t>
      </w:r>
    </w:p>
    <w:p>
      <w:pPr>
        <w:spacing w:line="360" w:lineRule="auto"/>
        <w:ind w:firstLine="480" w:firstLineChars="200"/>
        <w:rPr>
          <w:rFonts w:ascii="宋体" w:hAnsi="宋体" w:cs="仿宋_GB2312"/>
          <w:sz w:val="24"/>
          <w:szCs w:val="24"/>
        </w:rPr>
      </w:pPr>
      <w:r>
        <w:rPr>
          <w:rFonts w:ascii="宋体" w:hAnsi="宋体" w:cs="仿宋_GB2312"/>
          <w:sz w:val="24"/>
          <w:szCs w:val="24"/>
        </w:rPr>
        <w:t>4、每月对消防水泵作一次启动试运转。</w:t>
      </w:r>
    </w:p>
    <w:p>
      <w:pPr>
        <w:spacing w:line="360" w:lineRule="auto"/>
        <w:ind w:firstLine="480" w:firstLineChars="200"/>
        <w:rPr>
          <w:rFonts w:ascii="宋体" w:hAnsi="宋体" w:cs="仿宋_GB2312"/>
          <w:sz w:val="24"/>
          <w:szCs w:val="24"/>
        </w:rPr>
      </w:pPr>
      <w:r>
        <w:rPr>
          <w:rFonts w:ascii="宋体" w:hAnsi="宋体" w:cs="仿宋_GB2312"/>
          <w:sz w:val="24"/>
          <w:szCs w:val="24"/>
        </w:rPr>
        <w:t>5、每月对湿式报警阀组、控制阀门进行检查，确保正常。运程启停、启泵按钮启停、泵房控制柜启停。</w:t>
      </w:r>
    </w:p>
    <w:p>
      <w:pPr>
        <w:spacing w:line="360" w:lineRule="auto"/>
        <w:ind w:firstLine="480" w:firstLineChars="200"/>
        <w:rPr>
          <w:rFonts w:ascii="宋体" w:hAnsi="宋体" w:cs="仿宋_GB2312"/>
          <w:sz w:val="24"/>
          <w:szCs w:val="24"/>
        </w:rPr>
      </w:pPr>
      <w:r>
        <w:rPr>
          <w:rFonts w:ascii="宋体" w:hAnsi="宋体" w:cs="仿宋_GB2312"/>
          <w:sz w:val="24"/>
          <w:szCs w:val="24"/>
        </w:rPr>
        <w:t>6、每月对泵进行一次启停试验。</w:t>
      </w:r>
    </w:p>
    <w:p>
      <w:pPr>
        <w:spacing w:line="360" w:lineRule="auto"/>
        <w:ind w:firstLine="480" w:firstLineChars="200"/>
        <w:rPr>
          <w:rFonts w:ascii="宋体" w:hAnsi="宋体" w:cs="仿宋_GB2312"/>
          <w:sz w:val="24"/>
          <w:szCs w:val="24"/>
        </w:rPr>
      </w:pPr>
      <w:r>
        <w:rPr>
          <w:rFonts w:ascii="宋体" w:hAnsi="宋体" w:cs="仿宋_GB2312"/>
          <w:sz w:val="24"/>
          <w:szCs w:val="24"/>
        </w:rPr>
        <w:t>7、每月对大空间智能喷水灭火系统的检测。</w:t>
      </w:r>
    </w:p>
    <w:p>
      <w:pPr>
        <w:spacing w:line="360" w:lineRule="auto"/>
        <w:ind w:firstLine="482" w:firstLineChars="200"/>
        <w:rPr>
          <w:rFonts w:ascii="宋体" w:hAnsi="宋体" w:cs="仿宋_GB2312"/>
          <w:b/>
          <w:bCs/>
          <w:sz w:val="24"/>
          <w:szCs w:val="24"/>
        </w:rPr>
      </w:pPr>
      <w:r>
        <w:rPr>
          <w:rFonts w:ascii="宋体" w:hAnsi="宋体" w:cs="仿宋_GB2312"/>
          <w:b/>
          <w:bCs/>
          <w:sz w:val="24"/>
          <w:szCs w:val="24"/>
        </w:rPr>
        <w:t>（三）消火栓系统</w:t>
      </w:r>
    </w:p>
    <w:p>
      <w:pPr>
        <w:spacing w:line="360" w:lineRule="auto"/>
        <w:ind w:firstLine="480" w:firstLineChars="200"/>
        <w:rPr>
          <w:rFonts w:ascii="宋体" w:hAnsi="宋体" w:cs="仿宋_GB2312"/>
          <w:sz w:val="24"/>
          <w:szCs w:val="24"/>
        </w:rPr>
      </w:pPr>
      <w:r>
        <w:rPr>
          <w:rFonts w:ascii="宋体" w:hAnsi="宋体" w:cs="仿宋_GB2312"/>
          <w:sz w:val="24"/>
          <w:szCs w:val="24"/>
        </w:rPr>
        <w:t>1、每月检查室内消火栓是否漏水，开关是否灵活。</w:t>
      </w:r>
    </w:p>
    <w:p>
      <w:pPr>
        <w:spacing w:line="360" w:lineRule="auto"/>
        <w:ind w:firstLine="480" w:firstLineChars="200"/>
        <w:rPr>
          <w:rFonts w:ascii="宋体" w:hAnsi="宋体" w:cs="仿宋_GB2312"/>
          <w:sz w:val="24"/>
          <w:szCs w:val="24"/>
        </w:rPr>
      </w:pPr>
      <w:r>
        <w:rPr>
          <w:rFonts w:ascii="宋体" w:hAnsi="宋体" w:cs="仿宋_GB2312"/>
          <w:sz w:val="24"/>
          <w:szCs w:val="24"/>
        </w:rPr>
        <w:t>2、每月对屋面试验栓进行防水试验。</w:t>
      </w:r>
    </w:p>
    <w:p>
      <w:pPr>
        <w:spacing w:line="360" w:lineRule="auto"/>
        <w:ind w:firstLine="480" w:firstLineChars="200"/>
        <w:rPr>
          <w:rFonts w:ascii="宋体" w:hAnsi="宋体" w:cs="仿宋_GB2312"/>
          <w:sz w:val="24"/>
          <w:szCs w:val="24"/>
        </w:rPr>
      </w:pPr>
      <w:r>
        <w:rPr>
          <w:rFonts w:ascii="宋体" w:hAnsi="宋体" w:cs="仿宋_GB2312"/>
          <w:sz w:val="24"/>
          <w:szCs w:val="24"/>
        </w:rPr>
        <w:t>3、每月对泵进行一次启停试验，运程启停、启泵按钮启停、泵房控制柜启停。</w:t>
      </w:r>
    </w:p>
    <w:p>
      <w:pPr>
        <w:spacing w:line="360" w:lineRule="auto"/>
        <w:ind w:firstLine="482" w:firstLineChars="200"/>
        <w:rPr>
          <w:rFonts w:ascii="宋体" w:hAnsi="宋体" w:cs="仿宋_GB2312"/>
          <w:b/>
          <w:bCs/>
          <w:sz w:val="24"/>
          <w:szCs w:val="24"/>
        </w:rPr>
      </w:pPr>
      <w:r>
        <w:rPr>
          <w:rFonts w:ascii="宋体" w:hAnsi="宋体" w:cs="仿宋_GB2312"/>
          <w:b/>
          <w:bCs/>
          <w:sz w:val="24"/>
          <w:szCs w:val="24"/>
        </w:rPr>
        <w:t>（四）防火卷帘系统</w:t>
      </w:r>
    </w:p>
    <w:p>
      <w:pPr>
        <w:spacing w:line="360" w:lineRule="auto"/>
        <w:ind w:firstLine="480" w:firstLineChars="200"/>
        <w:rPr>
          <w:rFonts w:ascii="宋体" w:hAnsi="宋体" w:cs="仿宋_GB2312"/>
          <w:sz w:val="24"/>
          <w:szCs w:val="24"/>
        </w:rPr>
      </w:pPr>
      <w:r>
        <w:rPr>
          <w:rFonts w:ascii="宋体" w:hAnsi="宋体" w:cs="仿宋_GB2312"/>
          <w:sz w:val="24"/>
          <w:szCs w:val="24"/>
        </w:rPr>
        <w:t>1、每季度对防火卷帘门进行一次开启升、停、降试验，检查是否灵活。</w:t>
      </w:r>
    </w:p>
    <w:p>
      <w:pPr>
        <w:spacing w:line="360" w:lineRule="auto"/>
        <w:ind w:firstLine="480" w:firstLineChars="200"/>
        <w:rPr>
          <w:rFonts w:ascii="宋体" w:hAnsi="宋体" w:cs="仿宋_GB2312"/>
          <w:sz w:val="24"/>
          <w:szCs w:val="24"/>
        </w:rPr>
      </w:pPr>
      <w:r>
        <w:rPr>
          <w:rFonts w:ascii="宋体" w:hAnsi="宋体" w:cs="仿宋_GB2312"/>
          <w:sz w:val="24"/>
          <w:szCs w:val="24"/>
        </w:rPr>
        <w:t>2、每季度对卷帘门电机、控制箱进行一次启停试验。</w:t>
      </w:r>
    </w:p>
    <w:p>
      <w:pPr>
        <w:spacing w:line="360" w:lineRule="auto"/>
        <w:ind w:firstLine="482" w:firstLineChars="200"/>
        <w:rPr>
          <w:rFonts w:ascii="宋体" w:hAnsi="宋体" w:cs="仿宋_GB2312"/>
          <w:b/>
          <w:bCs/>
          <w:sz w:val="24"/>
          <w:szCs w:val="24"/>
        </w:rPr>
      </w:pPr>
      <w:r>
        <w:rPr>
          <w:rFonts w:ascii="宋体" w:hAnsi="宋体" w:cs="仿宋_GB2312"/>
          <w:b/>
          <w:bCs/>
          <w:sz w:val="24"/>
          <w:szCs w:val="24"/>
        </w:rPr>
        <w:t>（五）广播系统</w:t>
      </w:r>
    </w:p>
    <w:p>
      <w:pPr>
        <w:spacing w:line="360" w:lineRule="auto"/>
        <w:ind w:firstLine="480" w:firstLineChars="200"/>
        <w:rPr>
          <w:rFonts w:ascii="宋体" w:hAnsi="宋体" w:cs="仿宋_GB2312"/>
          <w:sz w:val="24"/>
          <w:szCs w:val="24"/>
        </w:rPr>
      </w:pPr>
      <w:r>
        <w:rPr>
          <w:rFonts w:ascii="宋体" w:hAnsi="宋体" w:cs="仿宋_GB2312"/>
          <w:sz w:val="24"/>
          <w:szCs w:val="24"/>
        </w:rPr>
        <w:t>1、检查并维护所有喇叭的声音和音质</w:t>
      </w:r>
    </w:p>
    <w:p>
      <w:pPr>
        <w:spacing w:line="360" w:lineRule="auto"/>
        <w:ind w:firstLine="480" w:firstLineChars="200"/>
        <w:rPr>
          <w:rFonts w:ascii="宋体" w:hAnsi="宋体" w:cs="仿宋_GB2312"/>
          <w:sz w:val="24"/>
          <w:szCs w:val="24"/>
        </w:rPr>
      </w:pPr>
      <w:r>
        <w:rPr>
          <w:rFonts w:ascii="宋体" w:hAnsi="宋体" w:cs="仿宋_GB2312"/>
          <w:sz w:val="24"/>
          <w:szCs w:val="24"/>
        </w:rPr>
        <w:t>2、对广播系统及设备的运行情况进行监控，分析运行情况，及时发现并排除故障，如碟机、功放、话筒，检查其工作状态以及发热量等等</w:t>
      </w:r>
    </w:p>
    <w:p>
      <w:pPr>
        <w:spacing w:line="360" w:lineRule="auto"/>
        <w:ind w:firstLine="482" w:firstLineChars="200"/>
        <w:rPr>
          <w:rFonts w:ascii="宋体" w:hAnsi="宋体" w:cs="仿宋_GB2312"/>
          <w:b/>
          <w:bCs/>
          <w:sz w:val="24"/>
          <w:szCs w:val="24"/>
        </w:rPr>
      </w:pPr>
      <w:r>
        <w:rPr>
          <w:rFonts w:ascii="宋体" w:hAnsi="宋体" w:cs="仿宋_GB2312"/>
          <w:b/>
          <w:bCs/>
          <w:sz w:val="24"/>
          <w:szCs w:val="24"/>
        </w:rPr>
        <w:t>（六）防排烟系统</w:t>
      </w:r>
    </w:p>
    <w:p>
      <w:pPr>
        <w:spacing w:line="360" w:lineRule="auto"/>
        <w:ind w:firstLine="480" w:firstLineChars="200"/>
        <w:rPr>
          <w:rFonts w:ascii="宋体" w:hAnsi="宋体" w:cs="仿宋_GB2312"/>
          <w:sz w:val="24"/>
          <w:szCs w:val="24"/>
        </w:rPr>
      </w:pPr>
      <w:r>
        <w:rPr>
          <w:rFonts w:ascii="宋体" w:hAnsi="宋体" w:cs="仿宋_GB2312"/>
          <w:sz w:val="24"/>
          <w:szCs w:val="24"/>
        </w:rPr>
        <w:t>1、每季度检查送风、排烟机房工作环境以及送风机、排烟机、电源控制柜、送风阀、排烟阀等是否处于正常完好状态。</w:t>
      </w:r>
    </w:p>
    <w:p>
      <w:pPr>
        <w:spacing w:line="360" w:lineRule="auto"/>
        <w:ind w:firstLine="480" w:firstLineChars="200"/>
        <w:rPr>
          <w:rFonts w:ascii="宋体" w:hAnsi="宋体" w:cs="仿宋_GB2312"/>
          <w:sz w:val="24"/>
          <w:szCs w:val="24"/>
        </w:rPr>
      </w:pPr>
      <w:r>
        <w:rPr>
          <w:rFonts w:ascii="宋体" w:hAnsi="宋体" w:cs="仿宋_GB2312"/>
          <w:sz w:val="24"/>
          <w:szCs w:val="24"/>
        </w:rPr>
        <w:t>2、每季度手动或自动打开排烟阀、启/停送风机、排烟机查看其性能。</w:t>
      </w:r>
    </w:p>
    <w:p>
      <w:pPr>
        <w:spacing w:line="360" w:lineRule="auto"/>
        <w:ind w:firstLine="480" w:firstLineChars="200"/>
        <w:rPr>
          <w:rFonts w:ascii="宋体" w:hAnsi="宋体" w:cs="仿宋_GB2312"/>
          <w:sz w:val="24"/>
          <w:szCs w:val="24"/>
        </w:rPr>
      </w:pPr>
      <w:r>
        <w:rPr>
          <w:rFonts w:ascii="宋体" w:hAnsi="宋体" w:cs="仿宋_GB2312"/>
          <w:sz w:val="24"/>
          <w:szCs w:val="24"/>
        </w:rPr>
        <w:t>3、每半年手动或自动方式关闭电动防火阀试验，检查其性能。</w:t>
      </w:r>
    </w:p>
    <w:p>
      <w:pPr>
        <w:spacing w:line="360" w:lineRule="auto"/>
        <w:ind w:firstLine="482" w:firstLineChars="200"/>
        <w:rPr>
          <w:rFonts w:ascii="宋体" w:hAnsi="宋体" w:cs="仿宋_GB2312"/>
          <w:b/>
          <w:bCs/>
          <w:sz w:val="24"/>
          <w:szCs w:val="24"/>
        </w:rPr>
      </w:pPr>
      <w:r>
        <w:rPr>
          <w:rFonts w:ascii="宋体" w:hAnsi="宋体" w:cs="仿宋_GB2312"/>
          <w:b/>
          <w:bCs/>
          <w:sz w:val="24"/>
          <w:szCs w:val="24"/>
        </w:rPr>
        <w:t>（七）应急照明疏散指示</w:t>
      </w:r>
    </w:p>
    <w:p>
      <w:pPr>
        <w:spacing w:line="360" w:lineRule="auto"/>
        <w:ind w:firstLine="480" w:firstLineChars="200"/>
        <w:rPr>
          <w:rFonts w:ascii="宋体" w:hAnsi="宋体" w:cs="仿宋_GB2312"/>
          <w:sz w:val="24"/>
          <w:szCs w:val="24"/>
        </w:rPr>
      </w:pPr>
      <w:r>
        <w:rPr>
          <w:rFonts w:ascii="宋体" w:hAnsi="宋体" w:cs="仿宋_GB2312"/>
          <w:sz w:val="24"/>
          <w:szCs w:val="24"/>
        </w:rPr>
        <w:t>1、每月检查安全出口、疏散通道、重要场所的应急照明和疏散指示标志是否处于正常完好使用状态。</w:t>
      </w:r>
    </w:p>
    <w:p>
      <w:pPr>
        <w:spacing w:line="360" w:lineRule="auto"/>
        <w:ind w:firstLine="480" w:firstLineChars="200"/>
        <w:rPr>
          <w:rFonts w:ascii="宋体" w:hAnsi="宋体" w:cs="仿宋_GB2312"/>
          <w:sz w:val="24"/>
          <w:szCs w:val="24"/>
        </w:rPr>
      </w:pPr>
      <w:r>
        <w:rPr>
          <w:rFonts w:ascii="宋体" w:hAnsi="宋体" w:cs="仿宋_GB2312"/>
          <w:sz w:val="24"/>
          <w:szCs w:val="24"/>
        </w:rPr>
        <w:t>2、每月试验应急照明灯和疏散指示灯切断电源后是否能正常工作。</w:t>
      </w:r>
    </w:p>
    <w:p>
      <w:pPr>
        <w:spacing w:line="360" w:lineRule="auto"/>
        <w:ind w:firstLine="482" w:firstLineChars="200"/>
        <w:rPr>
          <w:rFonts w:ascii="宋体" w:hAnsi="宋体" w:cs="仿宋_GB2312"/>
          <w:sz w:val="24"/>
          <w:szCs w:val="24"/>
        </w:rPr>
      </w:pPr>
      <w:r>
        <w:rPr>
          <w:rFonts w:ascii="宋体" w:hAnsi="宋体" w:cs="仿宋_GB2312"/>
          <w:b/>
          <w:sz w:val="24"/>
          <w:szCs w:val="24"/>
        </w:rPr>
        <w:t>（八）</w:t>
      </w:r>
      <w:r>
        <w:rPr>
          <w:rFonts w:ascii="宋体" w:hAnsi="宋体" w:cs="仿宋_GB2312"/>
          <w:b/>
          <w:bCs/>
          <w:sz w:val="24"/>
          <w:szCs w:val="24"/>
        </w:rPr>
        <w:t>其他</w:t>
      </w:r>
    </w:p>
    <w:p>
      <w:pPr>
        <w:spacing w:line="360" w:lineRule="auto"/>
        <w:ind w:firstLine="480" w:firstLineChars="200"/>
        <w:rPr>
          <w:rFonts w:ascii="宋体" w:hAnsi="宋体" w:cs="仿宋_GB2312"/>
          <w:sz w:val="24"/>
          <w:szCs w:val="24"/>
        </w:rPr>
      </w:pPr>
      <w:r>
        <w:rPr>
          <w:rFonts w:ascii="宋体" w:hAnsi="宋体" w:cs="仿宋_GB2312"/>
          <w:sz w:val="24"/>
          <w:szCs w:val="24"/>
        </w:rPr>
        <w:t>1、每月检查相关消防集水坑排设备、消电源及自动切换设备是否处于正常完好状态。</w:t>
      </w:r>
      <w:r>
        <w:rPr>
          <w:rFonts w:ascii="宋体" w:hAnsi="宋体" w:cs="仿宋_GB2312"/>
          <w:sz w:val="24"/>
          <w:szCs w:val="24"/>
        </w:rPr>
        <w:br w:type="textWrapping"/>
      </w:r>
      <w:r>
        <w:rPr>
          <w:rFonts w:ascii="宋体" w:hAnsi="宋体" w:cs="仿宋_GB2312"/>
          <w:sz w:val="24"/>
          <w:szCs w:val="24"/>
        </w:rPr>
        <w:t xml:space="preserve">    2、每季度试验消电源末端的切换功能。</w:t>
      </w:r>
    </w:p>
    <w:p>
      <w:pPr>
        <w:spacing w:line="360" w:lineRule="auto"/>
        <w:ind w:firstLine="480" w:firstLineChars="200"/>
        <w:rPr>
          <w:rFonts w:ascii="宋体" w:hAnsi="宋体" w:cs="仿宋_GB2312"/>
          <w:sz w:val="24"/>
          <w:szCs w:val="24"/>
        </w:rPr>
      </w:pPr>
      <w:r>
        <w:rPr>
          <w:rFonts w:ascii="宋体" w:hAnsi="宋体" w:cs="仿宋_GB2312"/>
          <w:sz w:val="24"/>
          <w:szCs w:val="24"/>
        </w:rPr>
        <w:t>3、</w:t>
      </w:r>
      <w:r>
        <w:rPr>
          <w:rFonts w:ascii="宋体" w:hAnsi="宋体" w:cs="仿宋_GB2312"/>
          <w:color w:val="FF0000"/>
          <w:sz w:val="24"/>
          <w:szCs w:val="24"/>
        </w:rPr>
        <w:t>提供每月一次的定期信息服务：每月第一个工作日，将上月抢修、维修、维护、保养记录表</w:t>
      </w:r>
      <w:r>
        <w:rPr>
          <w:rFonts w:hint="eastAsia" w:ascii="宋体" w:hAnsi="宋体" w:cs="仿宋_GB2312"/>
          <w:color w:val="FF0000"/>
          <w:sz w:val="24"/>
          <w:szCs w:val="24"/>
        </w:rPr>
        <w:t>，</w:t>
      </w:r>
      <w:r>
        <w:rPr>
          <w:rFonts w:ascii="宋体" w:hAnsi="宋体" w:cs="仿宋_GB2312"/>
          <w:color w:val="FF0000"/>
          <w:sz w:val="24"/>
          <w:szCs w:val="24"/>
        </w:rPr>
        <w:t>维护保养报告以电子文档的形式报送保卫科。</w:t>
      </w:r>
    </w:p>
    <w:p>
      <w:pPr>
        <w:spacing w:line="360" w:lineRule="auto"/>
        <w:ind w:firstLine="480" w:firstLineChars="200"/>
        <w:rPr>
          <w:rFonts w:ascii="宋体" w:hAnsi="宋体"/>
          <w:sz w:val="24"/>
          <w:szCs w:val="24"/>
        </w:rPr>
      </w:pPr>
      <w:r>
        <w:rPr>
          <w:rFonts w:ascii="宋体" w:hAnsi="宋体" w:cs="仿宋_GB2312"/>
          <w:sz w:val="24"/>
          <w:szCs w:val="24"/>
        </w:rPr>
        <w:t>4、</w:t>
      </w:r>
      <w:r>
        <w:rPr>
          <w:rFonts w:ascii="宋体" w:hAnsi="宋体"/>
          <w:color w:val="FF0000"/>
          <w:sz w:val="24"/>
          <w:szCs w:val="24"/>
        </w:rPr>
        <w:t>每年提供消防设施年度检测报告和消防安全评估报告</w:t>
      </w:r>
      <w:r>
        <w:rPr>
          <w:rFonts w:ascii="宋体" w:hAnsi="宋体"/>
          <w:sz w:val="24"/>
          <w:szCs w:val="24"/>
        </w:rPr>
        <w:t>，并报消防支队备案。</w:t>
      </w:r>
    </w:p>
    <w:p>
      <w:pPr>
        <w:spacing w:line="360" w:lineRule="auto"/>
        <w:ind w:firstLine="480" w:firstLineChars="200"/>
        <w:rPr>
          <w:rFonts w:hint="eastAsia" w:ascii="宋体" w:hAnsi="宋体" w:eastAsia="宋体"/>
          <w:sz w:val="24"/>
          <w:szCs w:val="24"/>
          <w:lang w:eastAsia="zh-CN"/>
        </w:rPr>
      </w:pPr>
      <w:r>
        <w:rPr>
          <w:rFonts w:ascii="宋体" w:hAnsi="宋体"/>
          <w:sz w:val="24"/>
          <w:szCs w:val="24"/>
        </w:rPr>
        <w:t>5、</w:t>
      </w:r>
      <w:r>
        <w:rPr>
          <w:rFonts w:hint="eastAsia" w:ascii="宋体" w:hAnsi="宋体"/>
          <w:sz w:val="24"/>
          <w:szCs w:val="24"/>
        </w:rPr>
        <w:t>中标方负责整个消防系统设施的全部维护保养工作，并符合国家、地方及第三方消防设施年度检测和医院使用要求</w:t>
      </w:r>
      <w:r>
        <w:rPr>
          <w:rFonts w:hint="eastAsia" w:ascii="宋体" w:hAnsi="宋体"/>
          <w:sz w:val="24"/>
          <w:szCs w:val="24"/>
          <w:lang w:eastAsia="zh-CN"/>
        </w:rPr>
        <w:t>。</w:t>
      </w:r>
    </w:p>
    <w:p>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eastAsia="zh-CN"/>
        </w:rPr>
        <w:t>赠送一套</w:t>
      </w:r>
      <w:r>
        <w:rPr>
          <w:rFonts w:hint="eastAsia" w:ascii="宋体" w:hAnsi="宋体"/>
          <w:sz w:val="24"/>
          <w:szCs w:val="24"/>
          <w:lang w:val="en-US" w:eastAsia="zh-CN"/>
        </w:rPr>
        <w:t>JH-Y02单功能加烟器。</w:t>
      </w:r>
      <w:bookmarkStart w:id="2" w:name="_GoBack"/>
      <w:bookmarkEnd w:id="2"/>
    </w:p>
    <w:p>
      <w:pPr>
        <w:spacing w:line="360" w:lineRule="auto"/>
        <w:ind w:firstLine="470" w:firstLineChars="196"/>
        <w:rPr>
          <w:rFonts w:ascii="宋体" w:hAnsi="宋体"/>
          <w:sz w:val="24"/>
          <w:szCs w:val="24"/>
        </w:rPr>
      </w:pPr>
      <w:r>
        <w:rPr>
          <w:rFonts w:hint="eastAsia" w:ascii="宋体" w:hAnsi="宋体"/>
          <w:sz w:val="24"/>
          <w:szCs w:val="24"/>
          <w:lang w:val="en-US" w:eastAsia="zh-CN"/>
        </w:rPr>
        <w:t>7</w:t>
      </w:r>
      <w:r>
        <w:rPr>
          <w:rFonts w:ascii="宋体" w:hAnsi="宋体"/>
          <w:sz w:val="24"/>
          <w:szCs w:val="24"/>
        </w:rPr>
        <w:t>、其他未尽事宜按照国家相关标准要求执行。</w:t>
      </w:r>
    </w:p>
    <w:p>
      <w:pPr>
        <w:spacing w:line="360" w:lineRule="auto"/>
        <w:ind w:firstLine="470" w:firstLineChars="196"/>
        <w:rPr>
          <w:rFonts w:hint="default" w:ascii="宋体" w:hAnsi="宋体" w:eastAsia="宋体"/>
          <w:sz w:val="24"/>
          <w:szCs w:val="24"/>
          <w:lang w:val="en-US" w:eastAsia="zh-CN"/>
        </w:rPr>
      </w:pPr>
    </w:p>
    <w:p>
      <w:pPr>
        <w:spacing w:line="360" w:lineRule="auto"/>
        <w:ind w:firstLine="482" w:firstLineChars="200"/>
        <w:rPr>
          <w:rFonts w:ascii="宋体" w:hAnsi="宋体"/>
          <w:b/>
          <w:sz w:val="24"/>
          <w:szCs w:val="24"/>
        </w:rPr>
      </w:pPr>
      <w:r>
        <w:rPr>
          <w:rFonts w:ascii="宋体" w:hAnsi="宋体"/>
          <w:b/>
          <w:sz w:val="24"/>
          <w:szCs w:val="24"/>
        </w:rPr>
        <w:t>五</w:t>
      </w:r>
      <w:r>
        <w:rPr>
          <w:rFonts w:hint="eastAsia" w:ascii="宋体" w:hAnsi="宋体"/>
          <w:b/>
          <w:sz w:val="24"/>
          <w:szCs w:val="24"/>
        </w:rPr>
        <w:t>、</w:t>
      </w:r>
      <w:r>
        <w:rPr>
          <w:rFonts w:ascii="宋体" w:hAnsi="宋体"/>
          <w:b/>
          <w:sz w:val="24"/>
          <w:szCs w:val="24"/>
        </w:rPr>
        <w:t>维修及维保要求</w:t>
      </w:r>
      <w:r>
        <w:rPr>
          <w:rFonts w:ascii="宋体" w:hAnsi="宋体"/>
          <w:sz w:val="24"/>
          <w:szCs w:val="24"/>
        </w:rPr>
        <w:br w:type="textWrapping"/>
      </w:r>
      <w:r>
        <w:rPr>
          <w:rFonts w:ascii="宋体" w:hAnsi="宋体"/>
          <w:sz w:val="24"/>
          <w:szCs w:val="24"/>
        </w:rPr>
        <w:t xml:space="preserve">    1.在投标方中标后，按照本院管理部门要求对整个消防系统设施进行检查维修，对系统存在的缺陷进行修复完善，满足现有建筑使用功能要求，并得到本院管理部门认可。</w:t>
      </w:r>
    </w:p>
    <w:p>
      <w:pPr>
        <w:spacing w:line="360" w:lineRule="auto"/>
        <w:ind w:firstLine="480" w:firstLineChars="200"/>
        <w:rPr>
          <w:rFonts w:ascii="宋体" w:hAnsi="宋体"/>
          <w:sz w:val="24"/>
          <w:szCs w:val="24"/>
        </w:rPr>
      </w:pPr>
      <w:r>
        <w:rPr>
          <w:rFonts w:ascii="宋体" w:hAnsi="宋体"/>
          <w:sz w:val="24"/>
          <w:szCs w:val="24"/>
        </w:rPr>
        <w:t>2.在日后的维保期间，投标方每月对项目内容进行检查、测试、保养。故障报修24小时内需无条件到达现场进行维修排除。所有巡查、测试及维护保养必须有过程文字记录，每月月底整理双方签字盖章归档。由于维护不当给招标方造成经济损失，投标方负有赔偿责任。</w:t>
      </w:r>
    </w:p>
    <w:p>
      <w:pPr>
        <w:spacing w:line="360" w:lineRule="auto"/>
        <w:ind w:firstLine="480" w:firstLineChars="200"/>
        <w:rPr>
          <w:rFonts w:ascii="宋体" w:hAnsi="宋体"/>
          <w:sz w:val="24"/>
          <w:szCs w:val="24"/>
        </w:rPr>
      </w:pPr>
      <w:r>
        <w:rPr>
          <w:rFonts w:ascii="宋体" w:hAnsi="宋体"/>
          <w:sz w:val="24"/>
          <w:szCs w:val="24"/>
        </w:rPr>
        <w:t>3.投标方在日后维保过程中保证技术负责人员每月至少到现场1次，维保技术人员相对固定，不得频繁更换。</w:t>
      </w:r>
    </w:p>
    <w:p>
      <w:pPr>
        <w:spacing w:line="360" w:lineRule="auto"/>
        <w:ind w:firstLine="480" w:firstLineChars="200"/>
        <w:rPr>
          <w:rFonts w:ascii="宋体" w:hAnsi="宋体"/>
          <w:sz w:val="24"/>
          <w:szCs w:val="24"/>
        </w:rPr>
      </w:pPr>
      <w:r>
        <w:rPr>
          <w:rFonts w:ascii="宋体" w:hAnsi="宋体"/>
          <w:sz w:val="24"/>
          <w:szCs w:val="24"/>
        </w:rPr>
        <w:t>4.在投标方中标后，须为本项目配备足量的人员、设备，确保按期完成工作内容。</w:t>
      </w:r>
    </w:p>
    <w:p>
      <w:pPr>
        <w:spacing w:line="360" w:lineRule="auto"/>
        <w:ind w:firstLine="480" w:firstLineChars="200"/>
        <w:rPr>
          <w:rFonts w:ascii="宋体" w:hAnsi="宋体"/>
          <w:sz w:val="24"/>
          <w:szCs w:val="24"/>
        </w:rPr>
      </w:pPr>
      <w:r>
        <w:rPr>
          <w:rFonts w:ascii="宋体" w:hAnsi="宋体"/>
          <w:sz w:val="24"/>
          <w:szCs w:val="24"/>
        </w:rPr>
        <w:t xml:space="preserve">5.做好消防设施资料建档工作，及时更新老的资料。应向采购人提供完整的维保记录和相关资料，并对资料的真实性和有效性负责。 </w:t>
      </w:r>
    </w:p>
    <w:p>
      <w:pPr>
        <w:spacing w:line="360" w:lineRule="auto"/>
        <w:ind w:firstLine="480" w:firstLineChars="200"/>
        <w:rPr>
          <w:rFonts w:ascii="宋体" w:hAnsi="宋体"/>
          <w:sz w:val="24"/>
          <w:szCs w:val="24"/>
        </w:rPr>
      </w:pPr>
      <w:r>
        <w:rPr>
          <w:rFonts w:ascii="宋体" w:hAnsi="宋体"/>
          <w:sz w:val="24"/>
          <w:szCs w:val="24"/>
        </w:rPr>
        <w:t>6.为采购人服务期间，因服务工作所发生的人员及其他事故及相应责任均由投标人承担，采购人概不负责。</w:t>
      </w:r>
    </w:p>
    <w:p>
      <w:pPr>
        <w:spacing w:line="360" w:lineRule="auto"/>
        <w:ind w:firstLine="480" w:firstLineChars="200"/>
        <w:rPr>
          <w:rFonts w:ascii="宋体" w:hAnsi="宋体"/>
          <w:b/>
          <w:sz w:val="24"/>
          <w:szCs w:val="24"/>
        </w:rPr>
      </w:pPr>
      <w:r>
        <w:rPr>
          <w:rFonts w:hint="eastAsia" w:ascii="宋体" w:hAnsi="宋体"/>
          <w:sz w:val="24"/>
          <w:szCs w:val="24"/>
        </w:rPr>
        <w:t>★</w:t>
      </w:r>
      <w:r>
        <w:rPr>
          <w:rFonts w:ascii="宋体" w:hAnsi="宋体"/>
          <w:sz w:val="24"/>
          <w:szCs w:val="24"/>
        </w:rPr>
        <w:t>7.投标人拟派从业人员不得少于2人，消防</w:t>
      </w:r>
      <w:r>
        <w:rPr>
          <w:rFonts w:hint="eastAsia" w:ascii="宋体" w:hAnsi="宋体"/>
          <w:b/>
          <w:bCs/>
          <w:sz w:val="24"/>
          <w:szCs w:val="24"/>
        </w:rPr>
        <w:t>工程</w:t>
      </w:r>
      <w:r>
        <w:rPr>
          <w:rFonts w:ascii="宋体" w:hAnsi="宋体"/>
          <w:b/>
          <w:bCs/>
          <w:sz w:val="24"/>
          <w:szCs w:val="24"/>
        </w:rPr>
        <w:t>师和中级消防员各一名</w:t>
      </w:r>
      <w:r>
        <w:rPr>
          <w:rFonts w:ascii="宋体" w:hAnsi="宋体"/>
          <w:sz w:val="24"/>
          <w:szCs w:val="24"/>
        </w:rPr>
        <w:t>，</w:t>
      </w:r>
      <w:r>
        <w:rPr>
          <w:rFonts w:hint="eastAsia" w:ascii="宋体" w:hAnsi="宋体"/>
          <w:sz w:val="24"/>
          <w:szCs w:val="24"/>
        </w:rPr>
        <w:t>具有</w:t>
      </w:r>
      <w:r>
        <w:rPr>
          <w:rFonts w:ascii="宋体" w:hAnsi="宋体"/>
          <w:sz w:val="24"/>
          <w:szCs w:val="24"/>
        </w:rPr>
        <w:t>202</w:t>
      </w:r>
      <w:r>
        <w:rPr>
          <w:rFonts w:hint="eastAsia" w:ascii="宋体" w:hAnsi="宋体"/>
          <w:sz w:val="24"/>
          <w:szCs w:val="24"/>
        </w:rPr>
        <w:t>1</w:t>
      </w:r>
      <w:r>
        <w:rPr>
          <w:rFonts w:ascii="宋体" w:hAnsi="宋体"/>
          <w:sz w:val="24"/>
          <w:szCs w:val="24"/>
        </w:rPr>
        <w:t>年</w:t>
      </w:r>
      <w:r>
        <w:rPr>
          <w:rFonts w:hint="eastAsia" w:ascii="宋体" w:hAnsi="宋体"/>
          <w:sz w:val="24"/>
          <w:szCs w:val="24"/>
        </w:rPr>
        <w:t>1</w:t>
      </w:r>
      <w:r>
        <w:rPr>
          <w:rFonts w:ascii="宋体" w:hAnsi="宋体"/>
          <w:sz w:val="24"/>
          <w:szCs w:val="24"/>
        </w:rPr>
        <w:t>月—</w:t>
      </w:r>
      <w:r>
        <w:rPr>
          <w:rFonts w:hint="eastAsia" w:ascii="宋体" w:hAnsi="宋体"/>
          <w:sz w:val="24"/>
          <w:szCs w:val="24"/>
        </w:rPr>
        <w:t>4</w:t>
      </w:r>
      <w:r>
        <w:rPr>
          <w:rFonts w:ascii="宋体" w:hAnsi="宋体"/>
          <w:sz w:val="24"/>
          <w:szCs w:val="24"/>
        </w:rPr>
        <w:t>月连续4个月的社保缴纳凭证</w:t>
      </w:r>
      <w:r>
        <w:rPr>
          <w:rFonts w:hint="eastAsia" w:ascii="宋体" w:hAnsi="宋体"/>
          <w:sz w:val="24"/>
          <w:szCs w:val="24"/>
        </w:rPr>
        <w:t>，</w:t>
      </w:r>
      <w:r>
        <w:rPr>
          <w:rFonts w:ascii="宋体" w:hAnsi="宋体"/>
          <w:sz w:val="24"/>
          <w:szCs w:val="24"/>
        </w:rPr>
        <w:t>投标时需出示202</w:t>
      </w:r>
      <w:r>
        <w:rPr>
          <w:rFonts w:hint="eastAsia" w:ascii="宋体" w:hAnsi="宋体"/>
          <w:sz w:val="24"/>
          <w:szCs w:val="24"/>
        </w:rPr>
        <w:t>1</w:t>
      </w:r>
      <w:r>
        <w:rPr>
          <w:rFonts w:ascii="宋体" w:hAnsi="宋体"/>
          <w:sz w:val="24"/>
          <w:szCs w:val="24"/>
        </w:rPr>
        <w:t>年</w:t>
      </w:r>
      <w:r>
        <w:rPr>
          <w:rFonts w:hint="eastAsia" w:ascii="宋体" w:hAnsi="宋体"/>
          <w:sz w:val="24"/>
          <w:szCs w:val="24"/>
        </w:rPr>
        <w:t>1</w:t>
      </w:r>
      <w:r>
        <w:rPr>
          <w:rFonts w:ascii="宋体" w:hAnsi="宋体"/>
          <w:sz w:val="24"/>
          <w:szCs w:val="24"/>
        </w:rPr>
        <w:t>月—</w:t>
      </w:r>
      <w:r>
        <w:rPr>
          <w:rFonts w:hint="eastAsia" w:ascii="宋体" w:hAnsi="宋体"/>
          <w:sz w:val="24"/>
          <w:szCs w:val="24"/>
        </w:rPr>
        <w:t>4</w:t>
      </w:r>
      <w:r>
        <w:rPr>
          <w:rFonts w:ascii="宋体" w:hAnsi="宋体"/>
          <w:sz w:val="24"/>
          <w:szCs w:val="24"/>
        </w:rPr>
        <w:t>月连续4个月的社保缴纳凭证</w:t>
      </w:r>
      <w:r>
        <w:rPr>
          <w:rFonts w:hint="eastAsia" w:ascii="宋体" w:hAnsi="宋体"/>
          <w:sz w:val="24"/>
          <w:szCs w:val="24"/>
        </w:rPr>
        <w:t>。</w:t>
      </w:r>
      <w:r>
        <w:rPr>
          <w:rFonts w:ascii="宋体" w:hAnsi="宋体"/>
          <w:sz w:val="24"/>
          <w:szCs w:val="24"/>
        </w:rPr>
        <w:t>若有建（构）筑物消防员中级及以上证书，投标时需提供人员的建（构）筑物消防员中级及以上证书</w:t>
      </w:r>
      <w:r>
        <w:rPr>
          <w:rFonts w:hint="eastAsia" w:ascii="宋体" w:hAnsi="宋体"/>
          <w:sz w:val="24"/>
          <w:szCs w:val="24"/>
        </w:rPr>
        <w:t>。</w:t>
      </w:r>
      <w:r>
        <w:rPr>
          <w:rFonts w:hint="eastAsia" w:ascii="宋体" w:hAnsi="宋体"/>
          <w:b/>
          <w:sz w:val="24"/>
          <w:szCs w:val="24"/>
        </w:rPr>
        <w:t>从合同签订之日起一个月内，人员必须到位，否则采购人有权与中标人解除合同并与符合标的的第二中标候选人签订采购合同。</w:t>
      </w:r>
    </w:p>
    <w:p>
      <w:pPr>
        <w:spacing w:line="360" w:lineRule="auto"/>
        <w:ind w:firstLine="480" w:firstLineChars="200"/>
        <w:rPr>
          <w:rFonts w:ascii="宋体" w:hAnsi="宋体"/>
          <w:sz w:val="24"/>
          <w:szCs w:val="24"/>
        </w:rPr>
      </w:pPr>
      <w:r>
        <w:rPr>
          <w:rFonts w:ascii="宋体" w:hAnsi="宋体"/>
          <w:sz w:val="24"/>
          <w:szCs w:val="24"/>
        </w:rPr>
        <w:t>8.维保施工过程中，必须设置必要的防护和警示标志。高空施工必需佩戴安全帽及安全带。因维保施工发生任何安全意外事故与甲方无关，但维保施工中违规造成甲方相关工作人员的人身和财产损害和损失的，将由维保单位承担一切经济和法律责任。</w:t>
      </w:r>
    </w:p>
    <w:p>
      <w:pPr>
        <w:spacing w:line="360" w:lineRule="auto"/>
        <w:ind w:firstLine="470" w:firstLineChars="196"/>
        <w:rPr>
          <w:rFonts w:ascii="宋体" w:hAnsi="宋体"/>
          <w:b/>
          <w:sz w:val="24"/>
          <w:szCs w:val="24"/>
        </w:rPr>
      </w:pPr>
      <w:r>
        <w:rPr>
          <w:rFonts w:ascii="宋体" w:hAnsi="宋体"/>
          <w:sz w:val="24"/>
          <w:szCs w:val="24"/>
        </w:rPr>
        <w:t>6.9 投标单位需到现场了解消防及配套设备的运行情况，并有针对性地制定维保方案和实施方案，对于甲方提出维保要求如有缺少相关维保规范要求，投标单位应按规范要求给予补充完善。</w:t>
      </w:r>
    </w:p>
    <w:p>
      <w:pPr>
        <w:spacing w:line="360" w:lineRule="auto"/>
        <w:ind w:firstLine="482" w:firstLineChars="200"/>
        <w:rPr>
          <w:rFonts w:ascii="宋体" w:hAnsi="宋体"/>
          <w:b/>
          <w:sz w:val="24"/>
          <w:szCs w:val="24"/>
        </w:rPr>
      </w:pPr>
      <w:r>
        <w:rPr>
          <w:rFonts w:hint="eastAsia" w:ascii="宋体" w:hAnsi="宋体"/>
          <w:b/>
          <w:sz w:val="24"/>
          <w:szCs w:val="24"/>
        </w:rPr>
        <w:t>六、</w:t>
      </w:r>
      <w:r>
        <w:rPr>
          <w:rFonts w:ascii="宋体" w:hAnsi="宋体"/>
          <w:b/>
          <w:sz w:val="24"/>
          <w:szCs w:val="24"/>
        </w:rPr>
        <w:t>维保周期</w:t>
      </w:r>
    </w:p>
    <w:p>
      <w:pPr>
        <w:spacing w:line="360" w:lineRule="auto"/>
        <w:ind w:firstLine="470" w:firstLineChars="196"/>
        <w:rPr>
          <w:rFonts w:ascii="宋体" w:hAnsi="宋体"/>
          <w:sz w:val="24"/>
          <w:szCs w:val="24"/>
        </w:rPr>
      </w:pPr>
      <w:r>
        <w:rPr>
          <w:rFonts w:hint="eastAsia" w:ascii="宋体" w:hAnsi="宋体"/>
          <w:sz w:val="24"/>
          <w:szCs w:val="24"/>
        </w:rPr>
        <w:t>整个消防系统设施工程的维保周期为一年。</w:t>
      </w:r>
    </w:p>
    <w:p>
      <w:pPr>
        <w:spacing w:line="360" w:lineRule="auto"/>
        <w:ind w:firstLine="482" w:firstLineChars="200"/>
        <w:rPr>
          <w:rFonts w:ascii="宋体" w:hAnsi="宋体"/>
          <w:b/>
          <w:sz w:val="24"/>
          <w:szCs w:val="24"/>
        </w:rPr>
      </w:pPr>
      <w:r>
        <w:rPr>
          <w:rFonts w:hint="eastAsia" w:ascii="宋体" w:hAnsi="宋体"/>
          <w:b/>
          <w:sz w:val="24"/>
          <w:szCs w:val="24"/>
        </w:rPr>
        <w:t>七、</w:t>
      </w:r>
      <w:r>
        <w:rPr>
          <w:rFonts w:ascii="宋体" w:hAnsi="宋体"/>
          <w:b/>
          <w:sz w:val="24"/>
          <w:szCs w:val="24"/>
        </w:rPr>
        <w:t>售后服务</w:t>
      </w:r>
      <w:r>
        <w:rPr>
          <w:rFonts w:ascii="宋体" w:hAnsi="宋体"/>
          <w:sz w:val="24"/>
          <w:szCs w:val="24"/>
        </w:rPr>
        <w:br w:type="textWrapping"/>
      </w:r>
      <w:r>
        <w:rPr>
          <w:rFonts w:ascii="宋体" w:hAnsi="宋体" w:cs="仿宋_GB2312"/>
          <w:sz w:val="24"/>
          <w:szCs w:val="24"/>
        </w:rPr>
        <w:t>  在维保期内由投标方负责每月对整个系统进行检查、保养、测试。投标方要在出现一般故障后6小时内到达现场解决；影响系统运行故障的，2小时内到达现场并解决完毕；紧急维修1小时内到达现场并解决完毕，因故障、维修等原因，需要暂时停用的，应当采取有效措施确保安全。</w:t>
      </w:r>
    </w:p>
    <w:p>
      <w:pPr>
        <w:spacing w:line="360" w:lineRule="auto"/>
        <w:ind w:firstLine="482" w:firstLineChars="200"/>
        <w:rPr>
          <w:rFonts w:ascii="宋体" w:hAnsi="宋体"/>
          <w:sz w:val="24"/>
          <w:szCs w:val="24"/>
        </w:rPr>
      </w:pPr>
      <w:r>
        <w:rPr>
          <w:rFonts w:hint="eastAsia" w:ascii="宋体" w:hAnsi="宋体"/>
          <w:b/>
          <w:sz w:val="24"/>
          <w:szCs w:val="24"/>
        </w:rPr>
        <w:t>八、</w:t>
      </w:r>
      <w:r>
        <w:rPr>
          <w:rFonts w:ascii="宋体" w:hAnsi="宋体"/>
          <w:b/>
          <w:sz w:val="24"/>
          <w:szCs w:val="24"/>
        </w:rPr>
        <w:t>结算方式</w:t>
      </w:r>
      <w:r>
        <w:rPr>
          <w:rFonts w:ascii="宋体" w:hAnsi="宋体"/>
          <w:sz w:val="24"/>
          <w:szCs w:val="24"/>
        </w:rPr>
        <w:br w:type="textWrapping"/>
      </w:r>
      <w:r>
        <w:rPr>
          <w:rFonts w:ascii="宋体" w:hAnsi="宋体"/>
          <w:sz w:val="24"/>
          <w:szCs w:val="24"/>
        </w:rPr>
        <w:t xml:space="preserve">    1.投标后消防维保总价不作调整，招标人额外提出变更除外，本项目一次性包定，不作更改。</w:t>
      </w:r>
    </w:p>
    <w:p>
      <w:pPr>
        <w:spacing w:line="360" w:lineRule="auto"/>
        <w:ind w:firstLine="480" w:firstLineChars="200"/>
        <w:rPr>
          <w:rFonts w:ascii="宋体" w:hAnsi="宋体"/>
          <w:sz w:val="24"/>
          <w:szCs w:val="24"/>
        </w:rPr>
      </w:pPr>
      <w:r>
        <w:rPr>
          <w:rFonts w:ascii="宋体" w:hAnsi="宋体"/>
          <w:sz w:val="24"/>
          <w:szCs w:val="24"/>
        </w:rPr>
        <w:t>2.维保项目为日常服务费用包含维护保养辅助性材料，单次维护费用在</w:t>
      </w:r>
      <w:r>
        <w:rPr>
          <w:rFonts w:hint="eastAsia" w:ascii="宋体" w:hAnsi="宋体"/>
          <w:sz w:val="24"/>
          <w:szCs w:val="24"/>
          <w:lang w:val="en-US" w:eastAsia="zh-CN"/>
        </w:rPr>
        <w:t>2</w:t>
      </w:r>
      <w:r>
        <w:rPr>
          <w:rFonts w:ascii="宋体" w:hAnsi="宋体"/>
          <w:sz w:val="24"/>
          <w:szCs w:val="24"/>
        </w:rPr>
        <w:t>00元以内的设备更换包含在维保费内。</w:t>
      </w:r>
    </w:p>
    <w:p>
      <w:pPr>
        <w:spacing w:line="360" w:lineRule="auto"/>
        <w:ind w:firstLine="480" w:firstLineChars="200"/>
        <w:rPr>
          <w:rFonts w:ascii="宋体" w:hAnsi="宋体"/>
          <w:sz w:val="24"/>
          <w:szCs w:val="24"/>
        </w:rPr>
      </w:pPr>
      <w:r>
        <w:rPr>
          <w:rFonts w:ascii="宋体" w:hAnsi="宋体"/>
          <w:sz w:val="24"/>
          <w:szCs w:val="24"/>
        </w:rPr>
        <w:t xml:space="preserve">3.过质保期后大型器件如需更换，中标方报招标方，经招标方确认委托后实施采购维修,维修后另行结算。 </w:t>
      </w:r>
      <w:r>
        <w:rPr>
          <w:rFonts w:ascii="宋体" w:hAnsi="宋体"/>
          <w:sz w:val="24"/>
          <w:szCs w:val="24"/>
        </w:rPr>
        <w:br w:type="textWrapping"/>
      </w: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九、</w:t>
      </w:r>
      <w:r>
        <w:rPr>
          <w:rFonts w:ascii="宋体" w:hAnsi="宋体"/>
          <w:b/>
          <w:sz w:val="24"/>
          <w:szCs w:val="24"/>
        </w:rPr>
        <w:t>付款方式</w:t>
      </w:r>
    </w:p>
    <w:p>
      <w:pPr>
        <w:spacing w:line="360" w:lineRule="auto"/>
        <w:ind w:firstLine="470" w:firstLineChars="196"/>
        <w:rPr>
          <w:rFonts w:hint="eastAsia" w:ascii="宋体" w:hAnsi="宋体" w:eastAsia="宋体"/>
          <w:b/>
          <w:sz w:val="24"/>
          <w:szCs w:val="24"/>
          <w:lang w:val="en-US" w:eastAsia="zh-CN"/>
        </w:rPr>
      </w:pPr>
      <w:r>
        <w:rPr>
          <w:rFonts w:ascii="宋体" w:hAnsi="宋体"/>
          <w:sz w:val="24"/>
          <w:szCs w:val="24"/>
        </w:rPr>
        <w:t>维保工程合同签订后1月内支付本年度维保费的30%，年度检测合格后支付本年度</w:t>
      </w:r>
      <w:r>
        <w:rPr>
          <w:rFonts w:hint="eastAsia" w:ascii="宋体" w:hAnsi="宋体"/>
          <w:sz w:val="24"/>
          <w:szCs w:val="24"/>
          <w:lang w:eastAsia="zh-CN"/>
        </w:rPr>
        <w:t>维保费</w:t>
      </w:r>
      <w:r>
        <w:rPr>
          <w:rFonts w:ascii="宋体" w:hAnsi="宋体"/>
          <w:sz w:val="24"/>
          <w:szCs w:val="24"/>
        </w:rPr>
        <w:t>的</w:t>
      </w:r>
      <w:r>
        <w:rPr>
          <w:rFonts w:hint="eastAsia" w:ascii="宋体" w:hAnsi="宋体"/>
          <w:sz w:val="24"/>
          <w:szCs w:val="24"/>
          <w:lang w:val="en-US" w:eastAsia="zh-CN"/>
        </w:rPr>
        <w:t>7</w:t>
      </w:r>
      <w:r>
        <w:rPr>
          <w:rFonts w:ascii="宋体" w:hAnsi="宋体"/>
          <w:sz w:val="24"/>
          <w:szCs w:val="24"/>
        </w:rPr>
        <w:t>0%维保费</w:t>
      </w:r>
      <w:r>
        <w:rPr>
          <w:rFonts w:hint="eastAsia" w:ascii="宋体" w:hAnsi="宋体"/>
          <w:sz w:val="24"/>
          <w:szCs w:val="24"/>
          <w:lang w:eastAsia="zh-CN"/>
        </w:rPr>
        <w:t>。</w:t>
      </w:r>
    </w:p>
    <w:p>
      <w:pPr>
        <w:spacing w:line="400" w:lineRule="exact"/>
        <w:ind w:firstLine="472" w:firstLineChars="196"/>
        <w:rPr>
          <w:rFonts w:ascii="宋体" w:hAnsi="宋体"/>
          <w:b/>
          <w:sz w:val="24"/>
          <w:szCs w:val="24"/>
        </w:rPr>
      </w:pPr>
      <w:r>
        <w:rPr>
          <w:rFonts w:hint="eastAsia" w:ascii="宋体" w:hAnsi="宋体"/>
          <w:b/>
          <w:sz w:val="24"/>
          <w:szCs w:val="24"/>
        </w:rPr>
        <w:t>十、</w:t>
      </w:r>
      <w:r>
        <w:rPr>
          <w:rFonts w:ascii="宋体" w:hAnsi="宋体"/>
          <w:b/>
          <w:sz w:val="24"/>
          <w:szCs w:val="24"/>
        </w:rPr>
        <w:t>考核条款</w:t>
      </w:r>
    </w:p>
    <w:p>
      <w:pPr>
        <w:spacing w:line="360" w:lineRule="auto"/>
        <w:ind w:firstLine="480" w:firstLineChars="200"/>
        <w:rPr>
          <w:rFonts w:ascii="宋体" w:hAnsi="宋体" w:cs="Courier New"/>
          <w:sz w:val="24"/>
          <w:szCs w:val="24"/>
        </w:rPr>
      </w:pPr>
      <w:r>
        <w:rPr>
          <w:rFonts w:ascii="宋体" w:hAnsi="宋体" w:cs="Courier New"/>
          <w:sz w:val="24"/>
          <w:szCs w:val="24"/>
        </w:rPr>
        <w:t>医院方每</w:t>
      </w:r>
      <w:r>
        <w:rPr>
          <w:rFonts w:hint="eastAsia" w:ascii="宋体" w:hAnsi="宋体" w:cs="Courier New"/>
          <w:sz w:val="24"/>
          <w:szCs w:val="24"/>
          <w:lang w:eastAsia="zh-CN"/>
        </w:rPr>
        <w:t>月</w:t>
      </w:r>
      <w:r>
        <w:rPr>
          <w:rFonts w:ascii="宋体" w:hAnsi="宋体" w:cs="Courier New"/>
          <w:sz w:val="24"/>
          <w:szCs w:val="24"/>
        </w:rPr>
        <w:t>根据</w:t>
      </w:r>
      <w:r>
        <w:rPr>
          <w:rFonts w:hint="eastAsia" w:ascii="宋体" w:hAnsi="宋体" w:cs="Courier New"/>
          <w:sz w:val="24"/>
          <w:szCs w:val="24"/>
        </w:rPr>
        <w:t>附件</w:t>
      </w:r>
      <w:r>
        <w:rPr>
          <w:rFonts w:ascii="宋体" w:hAnsi="宋体" w:cs="Courier New"/>
          <w:sz w:val="24"/>
          <w:szCs w:val="24"/>
        </w:rPr>
        <w:t>考核标准对乙方进行考核。满分</w:t>
      </w:r>
      <w:r>
        <w:rPr>
          <w:rFonts w:hint="eastAsia" w:ascii="宋体" w:hAnsi="宋体" w:cs="Courier New"/>
          <w:sz w:val="24"/>
          <w:szCs w:val="24"/>
        </w:rPr>
        <w:t>1</w:t>
      </w:r>
      <w:r>
        <w:rPr>
          <w:rFonts w:ascii="宋体" w:hAnsi="宋体" w:cs="Courier New"/>
          <w:sz w:val="24"/>
          <w:szCs w:val="24"/>
        </w:rPr>
        <w:t>00分</w:t>
      </w:r>
      <w:r>
        <w:rPr>
          <w:rFonts w:hint="eastAsia" w:ascii="宋体" w:hAnsi="宋体" w:cs="Courier New"/>
          <w:sz w:val="24"/>
          <w:szCs w:val="24"/>
        </w:rPr>
        <w:t>，</w:t>
      </w:r>
      <w:r>
        <w:rPr>
          <w:rFonts w:ascii="宋体" w:hAnsi="宋体" w:cs="Courier New"/>
          <w:sz w:val="24"/>
          <w:szCs w:val="24"/>
        </w:rPr>
        <w:t>考核分达到90分以上(含90分)为合格。如考核得分90分以下每少1分</w:t>
      </w:r>
      <w:r>
        <w:rPr>
          <w:rFonts w:hint="eastAsia" w:ascii="宋体" w:hAnsi="宋体" w:cs="Courier New"/>
          <w:sz w:val="24"/>
          <w:szCs w:val="24"/>
        </w:rPr>
        <w:t>罚</w:t>
      </w:r>
      <w:r>
        <w:rPr>
          <w:rFonts w:ascii="宋体" w:hAnsi="宋体" w:cs="Courier New"/>
          <w:sz w:val="24"/>
          <w:szCs w:val="24"/>
        </w:rPr>
        <w:t>人民币100元，中标方次季度提交</w:t>
      </w:r>
      <w:r>
        <w:rPr>
          <w:rFonts w:hint="eastAsia" w:ascii="宋体" w:hAnsi="宋体" w:cs="Courier New"/>
          <w:sz w:val="24"/>
          <w:szCs w:val="24"/>
        </w:rPr>
        <w:t>罚</w:t>
      </w:r>
      <w:r>
        <w:rPr>
          <w:rFonts w:ascii="宋体" w:hAnsi="宋体" w:cs="Courier New"/>
          <w:sz w:val="24"/>
          <w:szCs w:val="24"/>
        </w:rPr>
        <w:t>款的金额。合同期内如该考核项目连续两个季度考核得分低于85分或一个外包年度内共计有三个季度考核得分低于85分，医院方有权提前终止合同,并追究中标方违约责任。</w:t>
      </w:r>
    </w:p>
    <w:p>
      <w:pPr>
        <w:spacing w:line="360" w:lineRule="auto"/>
        <w:ind w:firstLine="480" w:firstLineChars="200"/>
        <w:rPr>
          <w:rFonts w:ascii="宋体" w:hAnsi="宋体" w:cs="Courier New"/>
          <w:sz w:val="24"/>
          <w:szCs w:val="24"/>
        </w:rPr>
      </w:pPr>
      <w:r>
        <w:rPr>
          <w:rFonts w:ascii="宋体" w:hAnsi="宋体" w:cs="Courier New"/>
          <w:sz w:val="24"/>
          <w:szCs w:val="24"/>
        </w:rPr>
        <w:t>考核条款如下：</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136"/>
        <w:gridCol w:w="5807"/>
        <w:gridCol w:w="1161"/>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spacing w:line="420" w:lineRule="exact"/>
              <w:jc w:val="center"/>
              <w:rPr>
                <w:rFonts w:ascii="宋体" w:hAnsi="宋体" w:cs="仿宋_GB2312"/>
                <w:b/>
                <w:szCs w:val="21"/>
              </w:rPr>
            </w:pPr>
            <w:r>
              <w:rPr>
                <w:rFonts w:hint="eastAsia" w:ascii="宋体" w:hAnsi="宋体" w:cs="仿宋_GB2312"/>
                <w:b/>
                <w:szCs w:val="21"/>
              </w:rPr>
              <w:t>序号</w:t>
            </w:r>
          </w:p>
        </w:tc>
        <w:tc>
          <w:tcPr>
            <w:tcW w:w="590" w:type="pct"/>
            <w:vAlign w:val="center"/>
          </w:tcPr>
          <w:p>
            <w:pPr>
              <w:spacing w:line="420" w:lineRule="exact"/>
              <w:jc w:val="center"/>
              <w:rPr>
                <w:rFonts w:ascii="宋体" w:hAnsi="宋体" w:cs="仿宋_GB2312"/>
                <w:b/>
                <w:szCs w:val="21"/>
              </w:rPr>
            </w:pPr>
            <w:r>
              <w:rPr>
                <w:rFonts w:hint="eastAsia" w:ascii="宋体" w:hAnsi="宋体" w:cs="仿宋_GB2312"/>
                <w:b/>
                <w:szCs w:val="21"/>
              </w:rPr>
              <w:t>考核项目</w:t>
            </w:r>
          </w:p>
        </w:tc>
        <w:tc>
          <w:tcPr>
            <w:tcW w:w="3015" w:type="pct"/>
            <w:vAlign w:val="center"/>
          </w:tcPr>
          <w:p>
            <w:pPr>
              <w:spacing w:line="420" w:lineRule="exact"/>
              <w:jc w:val="center"/>
              <w:rPr>
                <w:rFonts w:ascii="宋体" w:hAnsi="宋体" w:cs="仿宋_GB2312"/>
                <w:b/>
                <w:szCs w:val="21"/>
              </w:rPr>
            </w:pPr>
            <w:r>
              <w:rPr>
                <w:rFonts w:hint="eastAsia" w:ascii="宋体" w:hAnsi="宋体" w:cs="仿宋_GB2312"/>
                <w:b/>
                <w:szCs w:val="21"/>
              </w:rPr>
              <w:t>考核内容</w:t>
            </w:r>
          </w:p>
        </w:tc>
        <w:tc>
          <w:tcPr>
            <w:tcW w:w="603" w:type="pct"/>
            <w:vAlign w:val="center"/>
          </w:tcPr>
          <w:p>
            <w:pPr>
              <w:spacing w:line="420" w:lineRule="exact"/>
              <w:jc w:val="center"/>
              <w:rPr>
                <w:rFonts w:ascii="宋体" w:hAnsi="宋体" w:cs="仿宋_GB2312"/>
                <w:b/>
                <w:szCs w:val="21"/>
              </w:rPr>
            </w:pPr>
            <w:r>
              <w:rPr>
                <w:rFonts w:hint="eastAsia" w:ascii="宋体" w:hAnsi="宋体" w:cs="仿宋_GB2312"/>
                <w:b/>
                <w:szCs w:val="21"/>
              </w:rPr>
              <w:t>评分</w:t>
            </w:r>
            <w:r>
              <w:rPr>
                <w:rFonts w:ascii="宋体" w:hAnsi="宋体" w:cs="仿宋_GB2312"/>
                <w:b/>
                <w:szCs w:val="21"/>
              </w:rPr>
              <w:t>标准</w:t>
            </w:r>
          </w:p>
        </w:tc>
        <w:tc>
          <w:tcPr>
            <w:tcW w:w="404" w:type="pct"/>
            <w:vAlign w:val="center"/>
          </w:tcPr>
          <w:p>
            <w:pPr>
              <w:spacing w:line="420" w:lineRule="exact"/>
              <w:jc w:val="center"/>
              <w:rPr>
                <w:rFonts w:ascii="宋体" w:hAnsi="宋体" w:cs="仿宋_GB2312"/>
                <w:b/>
                <w:szCs w:val="21"/>
              </w:rPr>
            </w:pPr>
            <w:r>
              <w:rPr>
                <w:rFonts w:hint="eastAsia" w:ascii="宋体" w:hAnsi="宋体" w:cs="仿宋_GB2312"/>
                <w:b/>
                <w:szCs w:val="21"/>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spacing w:line="420" w:lineRule="exact"/>
              <w:rPr>
                <w:rFonts w:ascii="宋体" w:hAnsi="宋体" w:cs="仿宋_GB2312"/>
                <w:szCs w:val="21"/>
              </w:rPr>
            </w:pPr>
            <w:r>
              <w:rPr>
                <w:rFonts w:hint="eastAsia" w:ascii="宋体" w:hAnsi="宋体" w:cs="仿宋_GB2312"/>
                <w:szCs w:val="21"/>
              </w:rPr>
              <w:t>1</w:t>
            </w:r>
          </w:p>
        </w:tc>
        <w:tc>
          <w:tcPr>
            <w:tcW w:w="590" w:type="pct"/>
            <w:vAlign w:val="center"/>
          </w:tcPr>
          <w:p>
            <w:pPr>
              <w:contextualSpacing/>
              <w:rPr>
                <w:rFonts w:ascii="宋体" w:hAnsi="宋体"/>
                <w:kern w:val="0"/>
                <w:szCs w:val="21"/>
              </w:rPr>
            </w:pPr>
            <w:r>
              <w:rPr>
                <w:rFonts w:hint="eastAsia" w:ascii="宋体" w:hAnsi="宋体"/>
                <w:kern w:val="0"/>
                <w:szCs w:val="21"/>
              </w:rPr>
              <w:t>维保方案</w:t>
            </w:r>
          </w:p>
        </w:tc>
        <w:tc>
          <w:tcPr>
            <w:tcW w:w="3015" w:type="pct"/>
            <w:vAlign w:val="center"/>
          </w:tcPr>
          <w:p>
            <w:pPr>
              <w:contextualSpacing/>
              <w:rPr>
                <w:rFonts w:ascii="宋体" w:hAnsi="宋体"/>
                <w:kern w:val="0"/>
                <w:szCs w:val="21"/>
              </w:rPr>
            </w:pPr>
            <w:r>
              <w:rPr>
                <w:rFonts w:hint="eastAsia" w:ascii="宋体" w:hAnsi="宋体"/>
                <w:kern w:val="0"/>
                <w:szCs w:val="21"/>
              </w:rPr>
              <w:t>维保项目</w:t>
            </w:r>
            <w:r>
              <w:rPr>
                <w:rFonts w:ascii="宋体" w:hAnsi="宋体"/>
                <w:kern w:val="0"/>
                <w:szCs w:val="21"/>
              </w:rPr>
              <w:t>准确及时，符合国家法律规范，</w:t>
            </w:r>
            <w:r>
              <w:rPr>
                <w:rFonts w:hint="eastAsia" w:ascii="宋体" w:hAnsi="宋体"/>
                <w:kern w:val="0"/>
                <w:szCs w:val="21"/>
              </w:rPr>
              <w:t>服务</w:t>
            </w:r>
            <w:r>
              <w:rPr>
                <w:rFonts w:ascii="宋体" w:hAnsi="宋体"/>
                <w:kern w:val="0"/>
                <w:szCs w:val="21"/>
              </w:rPr>
              <w:t>周</w:t>
            </w:r>
            <w:r>
              <w:rPr>
                <w:rFonts w:hint="eastAsia" w:ascii="宋体" w:hAnsi="宋体"/>
                <w:kern w:val="0"/>
                <w:szCs w:val="21"/>
              </w:rPr>
              <w:t>全</w:t>
            </w:r>
            <w:r>
              <w:rPr>
                <w:rFonts w:ascii="宋体" w:hAnsi="宋体"/>
                <w:kern w:val="0"/>
                <w:szCs w:val="21"/>
              </w:rPr>
              <w:t>。</w:t>
            </w:r>
          </w:p>
        </w:tc>
        <w:tc>
          <w:tcPr>
            <w:tcW w:w="603" w:type="pct"/>
            <w:vAlign w:val="center"/>
          </w:tcPr>
          <w:p>
            <w:pPr>
              <w:spacing w:line="420" w:lineRule="exact"/>
              <w:rPr>
                <w:rFonts w:ascii="宋体" w:hAnsi="宋体" w:cs="仿宋_GB2312"/>
                <w:szCs w:val="21"/>
              </w:rPr>
            </w:pPr>
            <w:r>
              <w:rPr>
                <w:rFonts w:hint="eastAsia" w:ascii="宋体" w:hAnsi="宋体" w:cs="仿宋_GB2312"/>
                <w:szCs w:val="21"/>
              </w:rPr>
              <w:t>违反</w:t>
            </w:r>
            <w:r>
              <w:rPr>
                <w:rFonts w:ascii="宋体" w:hAnsi="宋体" w:cs="仿宋_GB2312"/>
                <w:szCs w:val="21"/>
              </w:rPr>
              <w:t>每</w:t>
            </w:r>
            <w:r>
              <w:rPr>
                <w:rFonts w:hint="eastAsia" w:ascii="宋体" w:hAnsi="宋体" w:cs="仿宋_GB2312"/>
                <w:szCs w:val="21"/>
              </w:rPr>
              <w:t>项</w:t>
            </w:r>
            <w:r>
              <w:rPr>
                <w:rFonts w:ascii="宋体" w:hAnsi="宋体" w:cs="仿宋_GB2312"/>
                <w:szCs w:val="21"/>
              </w:rPr>
              <w:t>扣</w:t>
            </w:r>
            <w:r>
              <w:rPr>
                <w:rFonts w:hint="eastAsia" w:ascii="宋体" w:hAnsi="宋体" w:cs="仿宋_GB2312"/>
                <w:szCs w:val="21"/>
              </w:rPr>
              <w:t>2分</w:t>
            </w:r>
          </w:p>
        </w:tc>
        <w:tc>
          <w:tcPr>
            <w:tcW w:w="404" w:type="pct"/>
            <w:vAlign w:val="center"/>
          </w:tcPr>
          <w:p>
            <w:pPr>
              <w:spacing w:line="4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spacing w:line="420" w:lineRule="exact"/>
              <w:rPr>
                <w:rFonts w:ascii="宋体" w:hAnsi="宋体" w:cs="仿宋_GB2312"/>
                <w:szCs w:val="21"/>
              </w:rPr>
            </w:pPr>
            <w:r>
              <w:rPr>
                <w:rFonts w:hint="eastAsia" w:ascii="宋体" w:hAnsi="宋体" w:cs="仿宋_GB2312"/>
                <w:szCs w:val="21"/>
              </w:rPr>
              <w:t>2</w:t>
            </w:r>
          </w:p>
        </w:tc>
        <w:tc>
          <w:tcPr>
            <w:tcW w:w="590" w:type="pct"/>
            <w:vAlign w:val="center"/>
          </w:tcPr>
          <w:p>
            <w:pPr>
              <w:spacing w:line="420" w:lineRule="exact"/>
              <w:rPr>
                <w:rFonts w:ascii="宋体" w:hAnsi="宋体" w:cs="仿宋_GB2312"/>
                <w:szCs w:val="21"/>
              </w:rPr>
            </w:pPr>
            <w:r>
              <w:rPr>
                <w:rFonts w:hint="eastAsia" w:ascii="宋体" w:hAnsi="宋体" w:cs="仿宋_GB2312"/>
                <w:szCs w:val="21"/>
              </w:rPr>
              <w:t>故障</w:t>
            </w:r>
            <w:r>
              <w:rPr>
                <w:rFonts w:ascii="宋体" w:hAnsi="宋体" w:cs="仿宋_GB2312"/>
                <w:szCs w:val="21"/>
              </w:rPr>
              <w:t>处理</w:t>
            </w:r>
          </w:p>
        </w:tc>
        <w:tc>
          <w:tcPr>
            <w:tcW w:w="3015" w:type="pct"/>
            <w:vAlign w:val="center"/>
          </w:tcPr>
          <w:p>
            <w:pPr>
              <w:contextualSpacing/>
              <w:rPr>
                <w:rFonts w:ascii="宋体" w:hAnsi="宋体" w:cs="仿宋_GB2312"/>
                <w:szCs w:val="21"/>
              </w:rPr>
            </w:pPr>
            <w:r>
              <w:rPr>
                <w:rFonts w:hint="eastAsia" w:ascii="宋体" w:hAnsi="宋体"/>
                <w:kern w:val="0"/>
                <w:szCs w:val="21"/>
              </w:rPr>
              <w:t>响应及时</w:t>
            </w:r>
            <w:r>
              <w:rPr>
                <w:rFonts w:ascii="宋体" w:hAnsi="宋体"/>
                <w:kern w:val="0"/>
                <w:szCs w:val="21"/>
              </w:rPr>
              <w:t>，一般故障后6小时内到达现场解决；影响系统运行故障的，2小时内到达现场并解决完毕；紧急维修1小时内到达现场并解决完毕</w:t>
            </w:r>
            <w:r>
              <w:rPr>
                <w:rFonts w:hint="eastAsia" w:ascii="宋体" w:hAnsi="宋体"/>
                <w:kern w:val="0"/>
                <w:szCs w:val="21"/>
              </w:rPr>
              <w:t>。</w:t>
            </w:r>
          </w:p>
        </w:tc>
        <w:tc>
          <w:tcPr>
            <w:tcW w:w="603" w:type="pct"/>
            <w:vAlign w:val="center"/>
          </w:tcPr>
          <w:p>
            <w:pPr>
              <w:rPr>
                <w:rFonts w:ascii="宋体" w:hAnsi="宋体"/>
                <w:szCs w:val="21"/>
              </w:rPr>
            </w:pPr>
            <w:r>
              <w:rPr>
                <w:rFonts w:hint="eastAsia" w:ascii="宋体" w:hAnsi="宋体" w:cs="仿宋_GB2312"/>
                <w:szCs w:val="21"/>
              </w:rPr>
              <w:t>违反</w:t>
            </w:r>
            <w:r>
              <w:rPr>
                <w:rFonts w:ascii="宋体" w:hAnsi="宋体" w:cs="仿宋_GB2312"/>
                <w:szCs w:val="21"/>
              </w:rPr>
              <w:t>每次扣</w:t>
            </w:r>
            <w:r>
              <w:rPr>
                <w:rFonts w:hint="eastAsia" w:ascii="宋体" w:hAnsi="宋体" w:cs="仿宋_GB2312"/>
                <w:szCs w:val="21"/>
              </w:rPr>
              <w:t>2分</w:t>
            </w:r>
          </w:p>
        </w:tc>
        <w:tc>
          <w:tcPr>
            <w:tcW w:w="404" w:type="pct"/>
            <w:vAlign w:val="center"/>
          </w:tcPr>
          <w:p>
            <w:pPr>
              <w:spacing w:line="4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spacing w:line="420" w:lineRule="exact"/>
              <w:rPr>
                <w:rFonts w:ascii="宋体" w:hAnsi="宋体" w:cs="仿宋_GB2312"/>
                <w:szCs w:val="21"/>
              </w:rPr>
            </w:pPr>
            <w:r>
              <w:rPr>
                <w:rFonts w:hint="eastAsia" w:ascii="宋体" w:hAnsi="宋体" w:cs="仿宋_GB2312"/>
                <w:szCs w:val="21"/>
              </w:rPr>
              <w:t>3</w:t>
            </w:r>
          </w:p>
        </w:tc>
        <w:tc>
          <w:tcPr>
            <w:tcW w:w="590" w:type="pct"/>
            <w:vAlign w:val="center"/>
          </w:tcPr>
          <w:p>
            <w:pPr>
              <w:spacing w:line="420" w:lineRule="exact"/>
              <w:rPr>
                <w:rFonts w:ascii="宋体" w:hAnsi="宋体" w:cs="仿宋_GB2312"/>
                <w:szCs w:val="21"/>
              </w:rPr>
            </w:pPr>
            <w:r>
              <w:rPr>
                <w:rFonts w:hint="eastAsia" w:ascii="宋体" w:hAnsi="宋体" w:cs="仿宋_GB2312"/>
                <w:szCs w:val="21"/>
              </w:rPr>
              <w:t>维护记录</w:t>
            </w:r>
          </w:p>
        </w:tc>
        <w:tc>
          <w:tcPr>
            <w:tcW w:w="3015" w:type="pct"/>
            <w:vAlign w:val="center"/>
          </w:tcPr>
          <w:p>
            <w:pPr>
              <w:contextualSpacing/>
              <w:rPr>
                <w:rFonts w:ascii="宋体" w:hAnsi="宋体" w:cs="仿宋_GB2312"/>
                <w:szCs w:val="21"/>
              </w:rPr>
            </w:pPr>
            <w:r>
              <w:rPr>
                <w:rFonts w:hint="eastAsia" w:ascii="宋体" w:hAnsi="宋体"/>
                <w:kern w:val="0"/>
                <w:szCs w:val="21"/>
              </w:rPr>
              <w:t>建立消防系统检测维护档案，每月出具检测报告，由双方签字确认（加盖公章）。双方存档备查。</w:t>
            </w:r>
          </w:p>
        </w:tc>
        <w:tc>
          <w:tcPr>
            <w:tcW w:w="603" w:type="pct"/>
            <w:vAlign w:val="center"/>
          </w:tcPr>
          <w:p>
            <w:pPr>
              <w:rPr>
                <w:rFonts w:ascii="宋体" w:hAnsi="宋体"/>
                <w:szCs w:val="21"/>
              </w:rPr>
            </w:pPr>
            <w:r>
              <w:rPr>
                <w:rFonts w:hint="eastAsia" w:ascii="宋体" w:hAnsi="宋体" w:cs="仿宋_GB2312"/>
                <w:szCs w:val="21"/>
              </w:rPr>
              <w:t>违反</w:t>
            </w:r>
            <w:r>
              <w:rPr>
                <w:rFonts w:ascii="宋体" w:hAnsi="宋体" w:cs="仿宋_GB2312"/>
                <w:szCs w:val="21"/>
              </w:rPr>
              <w:t>每次扣</w:t>
            </w:r>
            <w:r>
              <w:rPr>
                <w:rFonts w:hint="eastAsia" w:ascii="宋体" w:hAnsi="宋体" w:cs="仿宋_GB2312"/>
                <w:szCs w:val="21"/>
              </w:rPr>
              <w:t>2分</w:t>
            </w:r>
          </w:p>
        </w:tc>
        <w:tc>
          <w:tcPr>
            <w:tcW w:w="404" w:type="pct"/>
            <w:vAlign w:val="center"/>
          </w:tcPr>
          <w:p>
            <w:pPr>
              <w:spacing w:line="4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spacing w:line="420" w:lineRule="exact"/>
              <w:rPr>
                <w:rFonts w:ascii="宋体" w:hAnsi="宋体" w:cs="仿宋_GB2312"/>
                <w:szCs w:val="21"/>
              </w:rPr>
            </w:pPr>
            <w:r>
              <w:rPr>
                <w:rFonts w:hint="eastAsia" w:ascii="宋体" w:hAnsi="宋体" w:cs="仿宋_GB2312"/>
                <w:szCs w:val="21"/>
              </w:rPr>
              <w:t>4</w:t>
            </w:r>
          </w:p>
        </w:tc>
        <w:tc>
          <w:tcPr>
            <w:tcW w:w="590" w:type="pct"/>
            <w:vAlign w:val="center"/>
          </w:tcPr>
          <w:p>
            <w:pPr>
              <w:contextualSpacing/>
              <w:rPr>
                <w:rFonts w:ascii="宋体" w:hAnsi="宋体"/>
                <w:kern w:val="0"/>
                <w:szCs w:val="21"/>
              </w:rPr>
            </w:pPr>
            <w:r>
              <w:rPr>
                <w:rFonts w:hint="eastAsia" w:ascii="宋体" w:hAnsi="宋体"/>
                <w:kern w:val="0"/>
                <w:szCs w:val="21"/>
              </w:rPr>
              <w:t>施工</w:t>
            </w:r>
            <w:r>
              <w:rPr>
                <w:rFonts w:ascii="宋体" w:hAnsi="宋体"/>
                <w:kern w:val="0"/>
                <w:szCs w:val="21"/>
              </w:rPr>
              <w:t>安全</w:t>
            </w:r>
          </w:p>
        </w:tc>
        <w:tc>
          <w:tcPr>
            <w:tcW w:w="3015" w:type="pct"/>
            <w:vAlign w:val="center"/>
          </w:tcPr>
          <w:p>
            <w:pPr>
              <w:contextualSpacing/>
              <w:rPr>
                <w:rFonts w:ascii="宋体" w:hAnsi="宋体"/>
                <w:kern w:val="0"/>
                <w:szCs w:val="21"/>
              </w:rPr>
            </w:pPr>
            <w:r>
              <w:rPr>
                <w:rFonts w:hint="eastAsia" w:ascii="宋体" w:hAnsi="宋体"/>
                <w:kern w:val="0"/>
                <w:szCs w:val="21"/>
              </w:rPr>
              <w:t>中标方应注意施工安全，按国家有关安全生产</w:t>
            </w:r>
            <w:r>
              <w:rPr>
                <w:rFonts w:ascii="宋体" w:hAnsi="宋体"/>
                <w:kern w:val="0"/>
                <w:szCs w:val="21"/>
              </w:rPr>
              <w:t>的</w:t>
            </w:r>
            <w:r>
              <w:rPr>
                <w:rFonts w:hint="eastAsia" w:ascii="宋体" w:hAnsi="宋体"/>
                <w:kern w:val="0"/>
                <w:szCs w:val="21"/>
              </w:rPr>
              <w:t>规定，</w:t>
            </w:r>
            <w:r>
              <w:rPr>
                <w:rFonts w:ascii="宋体" w:hAnsi="宋体"/>
                <w:kern w:val="0"/>
                <w:szCs w:val="21"/>
              </w:rPr>
              <w:t>安全</w:t>
            </w:r>
            <w:r>
              <w:rPr>
                <w:rFonts w:hint="eastAsia" w:ascii="宋体" w:hAnsi="宋体"/>
                <w:kern w:val="0"/>
                <w:szCs w:val="21"/>
              </w:rPr>
              <w:t>施工</w:t>
            </w:r>
            <w:r>
              <w:rPr>
                <w:rFonts w:ascii="宋体" w:hAnsi="宋体"/>
                <w:kern w:val="0"/>
                <w:szCs w:val="21"/>
              </w:rPr>
              <w:t>，文明施工。</w:t>
            </w:r>
          </w:p>
        </w:tc>
        <w:tc>
          <w:tcPr>
            <w:tcW w:w="603" w:type="pct"/>
            <w:vAlign w:val="center"/>
          </w:tcPr>
          <w:p>
            <w:pPr>
              <w:rPr>
                <w:rFonts w:ascii="宋体" w:hAnsi="宋体"/>
                <w:szCs w:val="21"/>
              </w:rPr>
            </w:pPr>
            <w:r>
              <w:rPr>
                <w:rFonts w:hint="eastAsia" w:ascii="宋体" w:hAnsi="宋体" w:cs="仿宋_GB2312"/>
                <w:szCs w:val="21"/>
              </w:rPr>
              <w:t>违反</w:t>
            </w:r>
            <w:r>
              <w:rPr>
                <w:rFonts w:ascii="宋体" w:hAnsi="宋体" w:cs="仿宋_GB2312"/>
                <w:szCs w:val="21"/>
              </w:rPr>
              <w:t>每次扣</w:t>
            </w:r>
            <w:r>
              <w:rPr>
                <w:rFonts w:hint="eastAsia" w:ascii="宋体" w:hAnsi="宋体" w:cs="仿宋_GB2312"/>
                <w:szCs w:val="21"/>
              </w:rPr>
              <w:t>1分</w:t>
            </w:r>
          </w:p>
        </w:tc>
        <w:tc>
          <w:tcPr>
            <w:tcW w:w="404" w:type="pct"/>
            <w:vAlign w:val="center"/>
          </w:tcPr>
          <w:p>
            <w:pPr>
              <w:spacing w:line="420" w:lineRule="exact"/>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spacing w:line="420" w:lineRule="exact"/>
              <w:rPr>
                <w:rFonts w:ascii="宋体" w:hAnsi="宋体" w:cs="仿宋_GB2312"/>
                <w:szCs w:val="21"/>
              </w:rPr>
            </w:pPr>
            <w:r>
              <w:rPr>
                <w:rFonts w:hint="eastAsia" w:ascii="宋体" w:hAnsi="宋体" w:cs="仿宋_GB2312"/>
                <w:szCs w:val="21"/>
              </w:rPr>
              <w:t>5</w:t>
            </w:r>
          </w:p>
        </w:tc>
        <w:tc>
          <w:tcPr>
            <w:tcW w:w="590" w:type="pct"/>
            <w:vAlign w:val="center"/>
          </w:tcPr>
          <w:p>
            <w:pPr>
              <w:contextualSpacing/>
              <w:rPr>
                <w:rFonts w:ascii="宋体" w:hAnsi="宋体"/>
                <w:kern w:val="0"/>
                <w:szCs w:val="21"/>
              </w:rPr>
            </w:pPr>
            <w:r>
              <w:rPr>
                <w:rFonts w:hint="eastAsia" w:ascii="宋体" w:hAnsi="宋体"/>
                <w:kern w:val="0"/>
                <w:szCs w:val="21"/>
              </w:rPr>
              <w:t>资料保密</w:t>
            </w:r>
          </w:p>
        </w:tc>
        <w:tc>
          <w:tcPr>
            <w:tcW w:w="3015" w:type="pct"/>
            <w:vAlign w:val="center"/>
          </w:tcPr>
          <w:p>
            <w:pPr>
              <w:contextualSpacing/>
              <w:rPr>
                <w:rFonts w:ascii="宋体" w:hAnsi="宋体"/>
                <w:kern w:val="0"/>
                <w:szCs w:val="21"/>
              </w:rPr>
            </w:pPr>
            <w:r>
              <w:rPr>
                <w:rFonts w:hint="eastAsia" w:ascii="宋体" w:hAnsi="宋体"/>
                <w:kern w:val="0"/>
                <w:szCs w:val="21"/>
              </w:rPr>
              <w:t>对于甲方提供的图纸和技术资料以及属于甲方的检测报告，乙方有保密义务，除上级消防主管部门外，不得向第三方泄露。</w:t>
            </w:r>
          </w:p>
        </w:tc>
        <w:tc>
          <w:tcPr>
            <w:tcW w:w="603" w:type="pct"/>
            <w:vAlign w:val="center"/>
          </w:tcPr>
          <w:p>
            <w:pPr>
              <w:rPr>
                <w:rFonts w:ascii="宋体" w:hAnsi="宋体"/>
                <w:szCs w:val="21"/>
              </w:rPr>
            </w:pPr>
            <w:r>
              <w:rPr>
                <w:rFonts w:hint="eastAsia" w:ascii="宋体" w:hAnsi="宋体" w:cs="仿宋_GB2312"/>
                <w:szCs w:val="21"/>
              </w:rPr>
              <w:t>违反</w:t>
            </w:r>
            <w:r>
              <w:rPr>
                <w:rFonts w:ascii="宋体" w:hAnsi="宋体" w:cs="仿宋_GB2312"/>
                <w:szCs w:val="21"/>
              </w:rPr>
              <w:t>每次扣</w:t>
            </w:r>
            <w:r>
              <w:rPr>
                <w:rFonts w:hint="eastAsia" w:ascii="宋体" w:hAnsi="宋体" w:cs="仿宋_GB2312"/>
                <w:szCs w:val="21"/>
              </w:rPr>
              <w:t>1分</w:t>
            </w:r>
          </w:p>
        </w:tc>
        <w:tc>
          <w:tcPr>
            <w:tcW w:w="404" w:type="pct"/>
            <w:vAlign w:val="center"/>
          </w:tcPr>
          <w:p>
            <w:pPr>
              <w:spacing w:line="420" w:lineRule="exact"/>
              <w:rPr>
                <w:rFonts w:ascii="宋体" w:hAnsi="宋体" w:cs="仿宋_GB2312"/>
                <w:szCs w:val="21"/>
              </w:rPr>
            </w:pPr>
          </w:p>
        </w:tc>
      </w:tr>
    </w:tbl>
    <w:p>
      <w:pPr>
        <w:pStyle w:val="6"/>
        <w:spacing w:line="360" w:lineRule="auto"/>
        <w:rPr>
          <w:rFonts w:hAnsi="宋体"/>
          <w:sz w:val="24"/>
          <w:szCs w:val="24"/>
        </w:rPr>
      </w:pPr>
    </w:p>
    <w:p>
      <w:pPr>
        <w:spacing w:line="360" w:lineRule="auto"/>
        <w:jc w:val="center"/>
        <w:rPr>
          <w:rFonts w:ascii="宋体" w:hAnsi="宋体"/>
          <w:b/>
          <w:sz w:val="32"/>
          <w:szCs w:val="32"/>
        </w:rPr>
      </w:pPr>
      <w:r>
        <w:rPr>
          <w:rFonts w:hint="eastAsia" w:ascii="宋体" w:hAnsi="宋体"/>
          <w:b/>
          <w:sz w:val="32"/>
          <w:szCs w:val="32"/>
        </w:rPr>
        <w:t>第三章   投标文件要求</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一、对投标文件的要求</w:t>
      </w:r>
    </w:p>
    <w:p>
      <w:pPr>
        <w:widowControl/>
        <w:spacing w:line="420" w:lineRule="atLeast"/>
        <w:ind w:firstLine="480"/>
        <w:rPr>
          <w:rFonts w:ascii="宋体" w:hAnsi="宋体" w:cs="宋体"/>
          <w:kern w:val="0"/>
          <w:sz w:val="24"/>
          <w:szCs w:val="24"/>
        </w:rPr>
      </w:pPr>
      <w:r>
        <w:rPr>
          <w:rFonts w:hint="eastAsia" w:ascii="宋体" w:hAnsi="宋体"/>
          <w:sz w:val="24"/>
          <w:szCs w:val="21"/>
        </w:rPr>
        <w:t>1．投标方应仔细阅读招标文件的所有内容，按招标文件的要求提供投标文件，并保证所提供的全部资料的真实性，以使其投标对招标文件做出实质性响应，否则，其投标可能被拒绝</w:t>
      </w:r>
      <w:r>
        <w:rPr>
          <w:rFonts w:hint="eastAsia" w:ascii="宋体" w:hAnsi="宋体" w:cs="宋体"/>
          <w:kern w:val="0"/>
          <w:sz w:val="24"/>
          <w:szCs w:val="24"/>
        </w:rPr>
        <w:t>。</w:t>
      </w:r>
    </w:p>
    <w:p>
      <w:pPr>
        <w:widowControl/>
        <w:spacing w:line="420" w:lineRule="atLeast"/>
        <w:ind w:firstLine="480"/>
        <w:rPr>
          <w:rFonts w:ascii="宋体" w:hAnsi="宋体"/>
          <w:sz w:val="24"/>
          <w:szCs w:val="21"/>
        </w:rPr>
      </w:pPr>
      <w:r>
        <w:rPr>
          <w:rFonts w:ascii="宋体" w:hAnsi="宋体"/>
          <w:sz w:val="24"/>
          <w:szCs w:val="21"/>
        </w:rPr>
        <w:t>2</w:t>
      </w:r>
      <w:r>
        <w:rPr>
          <w:rFonts w:hint="eastAsia" w:ascii="宋体" w:hAnsi="宋体"/>
          <w:sz w:val="24"/>
          <w:szCs w:val="21"/>
        </w:rPr>
        <w:t>．</w:t>
      </w:r>
      <w:r>
        <w:rPr>
          <w:rFonts w:ascii="宋体" w:hAnsi="宋体"/>
          <w:sz w:val="24"/>
          <w:szCs w:val="21"/>
        </w:rPr>
        <w:t>在招标文件对技术要求中，投标人必须充分应答和满足用户的强制性的需求，如“★”等，否则将导致废标。</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二、投标文件的组成</w:t>
      </w:r>
    </w:p>
    <w:p>
      <w:pPr>
        <w:widowControl/>
        <w:spacing w:line="420" w:lineRule="atLeast"/>
        <w:ind w:firstLine="480"/>
        <w:rPr>
          <w:rFonts w:ascii="宋体" w:hAnsi="宋体" w:cs="宋体"/>
          <w:b/>
          <w:bCs/>
          <w:kern w:val="0"/>
          <w:sz w:val="24"/>
          <w:szCs w:val="24"/>
        </w:rPr>
      </w:pPr>
      <w:r>
        <w:rPr>
          <w:rFonts w:hint="eastAsia" w:ascii="宋体" w:hAnsi="宋体" w:cs="宋体"/>
          <w:b/>
          <w:bCs/>
          <w:kern w:val="0"/>
          <w:sz w:val="24"/>
          <w:szCs w:val="24"/>
        </w:rPr>
        <w:t>递交的投标文件应分为技术标和商务标，技术标为除商务报价外的所有内容，且技术标和商务标分开制作，并单独密封包装。</w:t>
      </w:r>
      <w:r>
        <w:rPr>
          <w:rFonts w:ascii="宋体" w:hAnsi="宋体" w:cs="宋体"/>
          <w:b/>
          <w:bCs/>
          <w:kern w:val="0"/>
          <w:sz w:val="24"/>
          <w:szCs w:val="24"/>
        </w:rPr>
        <w:t>技术标（含资信与服务）不得含商务报价，否则作无效标处理。</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技术标：</w:t>
      </w:r>
    </w:p>
    <w:p>
      <w:pPr>
        <w:pStyle w:val="6"/>
        <w:spacing w:line="460" w:lineRule="exact"/>
        <w:ind w:firstLine="480" w:firstLineChars="200"/>
        <w:rPr>
          <w:rFonts w:hAnsi="宋体" w:cs="宋体"/>
          <w:kern w:val="0"/>
          <w:sz w:val="24"/>
          <w:szCs w:val="24"/>
        </w:rPr>
      </w:pPr>
      <w:r>
        <w:rPr>
          <w:rFonts w:hint="eastAsia" w:hAnsi="宋体" w:cs="宋体"/>
          <w:kern w:val="0"/>
          <w:sz w:val="24"/>
          <w:szCs w:val="24"/>
        </w:rPr>
        <w:t>应包括下列内容（包含但不仅限于以下）并应按顺序装订成册(复印件需加盖单位公章，提供的所有证书应在有效期内)</w:t>
      </w:r>
    </w:p>
    <w:p>
      <w:pPr>
        <w:pStyle w:val="6"/>
        <w:spacing w:line="460" w:lineRule="exact"/>
        <w:ind w:firstLine="480" w:firstLineChars="200"/>
        <w:rPr>
          <w:rFonts w:hAnsi="宋体" w:cs="宋体"/>
          <w:kern w:val="0"/>
          <w:sz w:val="24"/>
          <w:szCs w:val="24"/>
        </w:rPr>
      </w:pPr>
      <w:r>
        <w:rPr>
          <w:rFonts w:hint="eastAsia" w:hAnsi="宋体" w:cs="宋体"/>
          <w:kern w:val="0"/>
          <w:sz w:val="24"/>
          <w:szCs w:val="24"/>
        </w:rPr>
        <w:t>（1）营业执照副本（复印件加盖公章）；组织机构代码证副本（复印件加盖公章）、税务登记证副本（复印件加盖公章）；</w:t>
      </w:r>
    </w:p>
    <w:p>
      <w:pPr>
        <w:pStyle w:val="6"/>
        <w:spacing w:line="460" w:lineRule="exact"/>
        <w:ind w:firstLine="480" w:firstLineChars="200"/>
        <w:rPr>
          <w:rFonts w:hAnsi="宋体" w:cs="宋体"/>
          <w:kern w:val="0"/>
          <w:sz w:val="24"/>
          <w:szCs w:val="24"/>
        </w:rPr>
      </w:pPr>
      <w:r>
        <w:rPr>
          <w:rFonts w:hint="eastAsia" w:hAnsi="宋体" w:cs="宋体"/>
          <w:kern w:val="0"/>
          <w:sz w:val="24"/>
          <w:szCs w:val="24"/>
        </w:rPr>
        <w:t>（2）法人资格证明或法人代表授权书；</w:t>
      </w:r>
    </w:p>
    <w:p>
      <w:pPr>
        <w:pStyle w:val="6"/>
        <w:spacing w:line="460" w:lineRule="exact"/>
        <w:ind w:firstLine="480" w:firstLineChars="200"/>
        <w:rPr>
          <w:rFonts w:hAnsi="宋体" w:cs="宋体"/>
          <w:kern w:val="0"/>
          <w:sz w:val="24"/>
          <w:szCs w:val="24"/>
        </w:rPr>
      </w:pPr>
      <w:r>
        <w:rPr>
          <w:rFonts w:hint="eastAsia" w:hAnsi="宋体" w:cs="宋体"/>
          <w:kern w:val="0"/>
          <w:sz w:val="24"/>
          <w:szCs w:val="24"/>
        </w:rPr>
        <w:t>（3）法定代表人或授权代表的身份证（复印件）；</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（4）建筑业消防企业资质证书；有消防技术服务机构资质证书的提供相关证书（消防安全评估、检测、维护、保养）；</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）公司业绩；</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）对本次采购货物及供货服务的具体方案，包括供货方案、服务团队、常驻联系人等；</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）售前、售后服务内容和服务承诺。</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）投标人能够给予招标人的其他优惠条件；</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）其他投标人认为应该提交给招标人的资料；</w:t>
      </w:r>
    </w:p>
    <w:p>
      <w:pPr>
        <w:widowControl/>
        <w:spacing w:line="420" w:lineRule="atLeast"/>
        <w:ind w:left="48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10</w:t>
      </w:r>
      <w:r>
        <w:rPr>
          <w:rFonts w:hint="eastAsia" w:ascii="宋体" w:hAnsi="宋体" w:cs="宋体"/>
          <w:kern w:val="0"/>
          <w:sz w:val="24"/>
          <w:szCs w:val="24"/>
        </w:rPr>
        <w:t>）各种能体现投标人实力的响应内容或有利于招标人的各种承诺等；</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商务标：</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（1）投标函（附件三）</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（2）报价一览表（附件五）</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三、投标报价要求</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1．投标均以人民币报价。</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投标报价包括货物价款、途中运输费、装卸费、保险费、利润、税金、完成本项目的其它费用和政策性文件规定及合同包含的所有风险、责任等各项应有费用，如有漏项，视同已包含在其总项目中，合同总价不予调整</w:t>
      </w:r>
      <w:r>
        <w:rPr>
          <w:rFonts w:hint="eastAsia" w:ascii="宋体" w:hAnsi="宋体" w:cs="宋体"/>
          <w:kern w:val="0"/>
          <w:sz w:val="24"/>
          <w:szCs w:val="24"/>
        </w:rPr>
        <w:t>。</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投标文件报价出现前后不一致的，按照下列规定修正：</w:t>
      </w:r>
    </w:p>
    <w:p>
      <w:pPr>
        <w:snapToGrid w:val="0"/>
        <w:spacing w:line="420" w:lineRule="atLeast"/>
        <w:ind w:firstLine="480" w:firstLineChars="20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投标文件中开标一览表（报价表）内容与投标文件中相应内容不一致的，以开标一览表（报价表）为准；</w:t>
      </w:r>
    </w:p>
    <w:p>
      <w:pPr>
        <w:snapToGrid w:val="0"/>
        <w:spacing w:line="420" w:lineRule="atLeast"/>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大写金额和小写金额不一致的，以大写金额为准；</w:t>
      </w:r>
    </w:p>
    <w:p>
      <w:pPr>
        <w:snapToGrid w:val="0"/>
        <w:spacing w:line="420" w:lineRule="atLeast"/>
        <w:ind w:firstLine="480" w:firstLineChars="20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单价金额小数点或者百分比有明显错位的，以开标一览表的总价为准，并修改单价；</w:t>
      </w:r>
    </w:p>
    <w:p>
      <w:pPr>
        <w:snapToGrid w:val="0"/>
        <w:spacing w:line="420" w:lineRule="atLeast"/>
        <w:ind w:firstLine="480" w:firstLineChars="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总价金额与按单价汇总金额不一致的，以单价金额计算结果为准。</w:t>
      </w:r>
    </w:p>
    <w:p>
      <w:pPr>
        <w:pStyle w:val="6"/>
        <w:spacing w:line="420" w:lineRule="atLeast"/>
        <w:ind w:firstLine="480" w:firstLineChars="200"/>
        <w:rPr>
          <w:rFonts w:hAnsi="宋体" w:cs="宋体"/>
          <w:kern w:val="0"/>
          <w:sz w:val="24"/>
          <w:szCs w:val="24"/>
        </w:rPr>
      </w:pPr>
      <w:r>
        <w:rPr>
          <w:rFonts w:hAnsi="宋体" w:cs="宋体"/>
          <w:kern w:val="0"/>
          <w:sz w:val="24"/>
          <w:szCs w:val="24"/>
        </w:rPr>
        <w:t>同时出现两种以上不一致的，按照前款规定的顺序修正。修正后的报价由投标人法定代表人或其授权代表签字确认后产生约束力，投标人不确认的，其投标无效。</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中标后，</w:t>
      </w:r>
      <w:r>
        <w:rPr>
          <w:rFonts w:ascii="宋体" w:hAnsi="宋体" w:cs="宋体"/>
          <w:b/>
          <w:kern w:val="0"/>
          <w:sz w:val="24"/>
          <w:szCs w:val="24"/>
        </w:rPr>
        <w:t>中标人所填写的单价在合同实施期间不因市场变化因素而变动</w:t>
      </w:r>
      <w:r>
        <w:rPr>
          <w:rFonts w:ascii="宋体" w:hAnsi="宋体" w:cs="宋体"/>
          <w:kern w:val="0"/>
          <w:sz w:val="24"/>
          <w:szCs w:val="24"/>
        </w:rPr>
        <w:t>；投标人在计算报价时应考虑一定的风险系数。</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投标人应按招标文件规定的报价格式进行投标报价。投标人对每种货物只允许有一个报价，采购人不接受任何有选择性的报价。</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四、投标文件制作要求</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1．投标文件正本必须用不退色的墨水填写或打印，幅面规格A4并装订成册，副本可用复印件。投标文件须一式</w:t>
      </w:r>
      <w:r>
        <w:rPr>
          <w:rFonts w:ascii="宋体" w:hAnsi="宋体" w:cs="宋体"/>
          <w:kern w:val="0"/>
          <w:sz w:val="24"/>
          <w:szCs w:val="24"/>
        </w:rPr>
        <w:t>2</w:t>
      </w:r>
      <w:r>
        <w:rPr>
          <w:rFonts w:hint="eastAsia" w:ascii="宋体" w:hAnsi="宋体" w:cs="宋体"/>
          <w:kern w:val="0"/>
          <w:sz w:val="24"/>
          <w:szCs w:val="24"/>
        </w:rPr>
        <w:t>份（正本1份，副本</w:t>
      </w:r>
      <w:r>
        <w:rPr>
          <w:rFonts w:ascii="宋体" w:hAnsi="宋体" w:cs="宋体"/>
          <w:kern w:val="0"/>
          <w:sz w:val="24"/>
          <w:szCs w:val="24"/>
        </w:rPr>
        <w:t>1</w:t>
      </w:r>
      <w:r>
        <w:rPr>
          <w:rFonts w:hint="eastAsia" w:ascii="宋体" w:hAnsi="宋体" w:cs="宋体"/>
          <w:kern w:val="0"/>
          <w:sz w:val="24"/>
          <w:szCs w:val="24"/>
        </w:rPr>
        <w:t>份），分别加盖“正本”“副本”印章。正本与副本如有差别，以正本为准，责任由投标人自负。</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2．投标文件中不许有加行、涂抹或改写。若修改错漏处，须由法定代表人或其授权代表签字并加盖单位公章方可生效。</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3．投标文件封面应标明“正本”或“副本”字样。</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4．</w:t>
      </w:r>
      <w:r>
        <w:rPr>
          <w:rFonts w:hint="eastAsia" w:ascii="宋体" w:hAnsi="宋体" w:cs="宋体"/>
          <w:b/>
          <w:bCs/>
          <w:kern w:val="0"/>
          <w:sz w:val="24"/>
          <w:szCs w:val="24"/>
        </w:rPr>
        <w:t>技术标和商务标分开制作并单独密封包装，全部投标文件应装入同一密封袋内，封口处应有投标人法定代表人或其授权代表签字并加盖投标单位公章；封面注明招标项目名称和编号，投标人的名称、地址、邮编、传真、联系电话、联系人。</w:t>
      </w:r>
    </w:p>
    <w:p>
      <w:pPr>
        <w:widowControl/>
        <w:spacing w:line="420" w:lineRule="atLeast"/>
        <w:rPr>
          <w:rFonts w:ascii="宋体" w:hAnsi="宋体" w:cs="宋体"/>
          <w:b/>
          <w:kern w:val="0"/>
          <w:sz w:val="24"/>
          <w:szCs w:val="24"/>
        </w:rPr>
      </w:pPr>
      <w:r>
        <w:rPr>
          <w:rFonts w:hint="eastAsia" w:ascii="宋体" w:hAnsi="宋体" w:cs="宋体"/>
          <w:b/>
          <w:kern w:val="0"/>
          <w:sz w:val="24"/>
          <w:szCs w:val="24"/>
        </w:rPr>
        <w:t xml:space="preserve">    五 、投标文件的送达时间 </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1．开标地点即为投标文件的递交地点，招标人在投标截止时间前一小时内接收投标文件。</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2．投标截止时间即为开标时间，招标方将拒绝在投标截止时间后收到的投标文件。</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六、投标单位有下列情况之一的，</w:t>
      </w:r>
      <w:r>
        <w:rPr>
          <w:rFonts w:hint="eastAsia" w:ascii="宋体" w:hAnsi="宋体" w:cs="宋体"/>
          <w:b/>
          <w:kern w:val="0"/>
          <w:sz w:val="24"/>
          <w:szCs w:val="24"/>
          <w:lang w:val="en-GB"/>
        </w:rPr>
        <w:t>其投标将可能被拒绝或作无效投标处理：</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1．未在规定时间内将投标书送达规定地点的。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2．投标书未按规定密封或未按要求加盖公章或投标文件签署不符合要求的。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3．投标文件无法人代表签字或签字无法人代表有效委托的。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4．投标单位不符合投标单位资格要求的。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5．投标单位不符合产品报价要求的。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6．投标文件中提供伪造、虚假材料的。</w:t>
      </w:r>
    </w:p>
    <w:p>
      <w:pPr>
        <w:widowControl/>
        <w:spacing w:line="420" w:lineRule="atLeast"/>
        <w:ind w:firstLine="480"/>
        <w:rPr>
          <w:rFonts w:ascii="宋体" w:hAnsi="宋体"/>
          <w:sz w:val="24"/>
        </w:rPr>
      </w:pPr>
      <w:r>
        <w:rPr>
          <w:rFonts w:hint="eastAsia" w:ascii="宋体" w:hAnsi="宋体" w:cs="宋体"/>
          <w:kern w:val="0"/>
          <w:sz w:val="24"/>
          <w:szCs w:val="24"/>
        </w:rPr>
        <w:t>7．投标单价及价格经评标小组认定明显不合理的。</w:t>
      </w:r>
    </w:p>
    <w:p>
      <w:pPr>
        <w:snapToGrid w:val="0"/>
        <w:spacing w:line="360" w:lineRule="auto"/>
        <w:rPr>
          <w:rFonts w:ascii="宋体" w:hAnsi="宋体"/>
          <w:sz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spacing w:line="360" w:lineRule="auto"/>
        <w:ind w:firstLine="3534" w:firstLineChars="1100"/>
        <w:jc w:val="both"/>
        <w:rPr>
          <w:rFonts w:ascii="宋体" w:hAnsi="宋体"/>
          <w:b/>
          <w:sz w:val="32"/>
          <w:szCs w:val="32"/>
        </w:rPr>
      </w:pPr>
      <w:r>
        <w:rPr>
          <w:rFonts w:hint="eastAsia" w:ascii="宋体" w:hAnsi="宋体"/>
          <w:b/>
          <w:sz w:val="32"/>
          <w:szCs w:val="32"/>
        </w:rPr>
        <w:t>第四章   评标办法</w:t>
      </w:r>
    </w:p>
    <w:p>
      <w:pPr>
        <w:adjustRightInd w:val="0"/>
        <w:snapToGrid w:val="0"/>
        <w:spacing w:line="360" w:lineRule="auto"/>
        <w:ind w:right="17" w:firstLine="480" w:firstLineChars="200"/>
        <w:rPr>
          <w:rFonts w:ascii="宋体" w:hAnsi="宋体"/>
          <w:sz w:val="24"/>
          <w:szCs w:val="24"/>
        </w:rPr>
      </w:pPr>
      <w:r>
        <w:rPr>
          <w:rFonts w:ascii="宋体" w:hAnsi="宋体"/>
          <w:sz w:val="24"/>
          <w:szCs w:val="24"/>
        </w:rPr>
        <w:t>根据《中华人民共和国政府采购法》和《中华人民共和国招标投标法》的有关规定，为更好地做到公开、公平、公正，结合本次招标的特点，特制定本评标办法。评标小组用综合评分法对招标项目作出评标结论</w:t>
      </w:r>
      <w:r>
        <w:rPr>
          <w:rFonts w:hint="eastAsia" w:ascii="宋体" w:hAnsi="宋体"/>
          <w:sz w:val="24"/>
          <w:szCs w:val="24"/>
        </w:rPr>
        <w:t>。</w:t>
      </w:r>
    </w:p>
    <w:p>
      <w:pPr>
        <w:pStyle w:val="6"/>
        <w:spacing w:line="360" w:lineRule="auto"/>
        <w:rPr>
          <w:rFonts w:hAnsi="宋体"/>
          <w:b/>
          <w:bCs/>
          <w:sz w:val="24"/>
          <w:szCs w:val="24"/>
        </w:rPr>
      </w:pPr>
      <w:r>
        <w:rPr>
          <w:rFonts w:hint="eastAsia" w:hAnsi="宋体"/>
          <w:b/>
          <w:bCs/>
          <w:sz w:val="24"/>
          <w:szCs w:val="24"/>
        </w:rPr>
        <w:t>一</w:t>
      </w:r>
      <w:r>
        <w:rPr>
          <w:rFonts w:hAnsi="宋体"/>
          <w:b/>
          <w:bCs/>
          <w:sz w:val="24"/>
          <w:szCs w:val="24"/>
        </w:rPr>
        <w:t>、评审办法</w:t>
      </w:r>
    </w:p>
    <w:p>
      <w:pPr>
        <w:adjustRightInd w:val="0"/>
        <w:snapToGrid w:val="0"/>
        <w:spacing w:line="360" w:lineRule="auto"/>
        <w:ind w:firstLine="480" w:firstLineChars="200"/>
        <w:rPr>
          <w:rFonts w:ascii="宋体" w:hAnsi="宋体"/>
          <w:sz w:val="24"/>
          <w:szCs w:val="24"/>
        </w:rPr>
      </w:pPr>
      <w:r>
        <w:rPr>
          <w:rFonts w:ascii="宋体" w:hAnsi="宋体"/>
          <w:sz w:val="24"/>
          <w:szCs w:val="24"/>
        </w:rPr>
        <w:t>评标采用综合评分法，评标委员会从投标人的综合实力、信誉、业绩、售后服务、产品构成、技术性能、质量等方面进行评审。评标委员会根据评审情况，对各投标人的商务报价方面在分值范围内进行统一打分，对各投标人的资信商务方面在分值范围内进行统一打分，对各投标人的技术方面在分值范围内进行独立打分。</w:t>
      </w:r>
    </w:p>
    <w:p>
      <w:pPr>
        <w:adjustRightInd w:val="0"/>
        <w:snapToGrid w:val="0"/>
        <w:spacing w:line="360" w:lineRule="auto"/>
        <w:jc w:val="center"/>
        <w:rPr>
          <w:rFonts w:ascii="宋体" w:hAnsi="宋体"/>
          <w:b/>
          <w:sz w:val="24"/>
          <w:szCs w:val="24"/>
        </w:rPr>
      </w:pPr>
      <w:r>
        <w:rPr>
          <w:rFonts w:ascii="宋体" w:hAnsi="宋体"/>
          <w:b/>
          <w:sz w:val="24"/>
          <w:szCs w:val="24"/>
        </w:rPr>
        <w:t>每个投标人最终得分=商务报价分+技术分</w:t>
      </w:r>
    </w:p>
    <w:p>
      <w:pPr>
        <w:adjustRightInd w:val="0"/>
        <w:snapToGrid w:val="0"/>
        <w:spacing w:line="360" w:lineRule="auto"/>
        <w:rPr>
          <w:rFonts w:ascii="宋体" w:hAnsi="宋体"/>
          <w:sz w:val="24"/>
          <w:szCs w:val="24"/>
        </w:rPr>
      </w:pPr>
      <w:r>
        <w:rPr>
          <w:rFonts w:ascii="宋体" w:hAnsi="宋体"/>
          <w:sz w:val="24"/>
          <w:szCs w:val="24"/>
        </w:rPr>
        <w:t>评标委员会推荐得分最高的投标人为第一中标候选人、得分次高的投标人为第二中标候选人（如果得分相同，则按投标人报价从低到高顺序推荐为中标候选人；如果投标报价也相同，则抽签决定），并编写评标报告</w:t>
      </w:r>
      <w:r>
        <w:rPr>
          <w:rFonts w:hint="eastAsia" w:ascii="宋体" w:hAnsi="宋体"/>
          <w:sz w:val="24"/>
          <w:szCs w:val="24"/>
        </w:rPr>
        <w:t>。</w:t>
      </w:r>
    </w:p>
    <w:p>
      <w:pPr>
        <w:adjustRightInd w:val="0"/>
        <w:snapToGrid w:val="0"/>
        <w:spacing w:line="360" w:lineRule="auto"/>
        <w:rPr>
          <w:rFonts w:ascii="宋体" w:hAnsi="宋体"/>
          <w:b/>
          <w:sz w:val="24"/>
          <w:szCs w:val="24"/>
        </w:rPr>
      </w:pPr>
      <w:r>
        <w:rPr>
          <w:rFonts w:hint="eastAsia" w:ascii="宋体" w:hAnsi="宋体"/>
          <w:b/>
          <w:sz w:val="24"/>
          <w:szCs w:val="24"/>
        </w:rPr>
        <w:t>1、技术评审（总分</w:t>
      </w:r>
      <w:r>
        <w:rPr>
          <w:rFonts w:ascii="宋体" w:hAnsi="宋体"/>
          <w:b/>
          <w:sz w:val="24"/>
          <w:szCs w:val="24"/>
        </w:rPr>
        <w:t>70</w:t>
      </w:r>
      <w:r>
        <w:rPr>
          <w:rFonts w:hint="eastAsia" w:ascii="宋体" w:hAnsi="宋体"/>
          <w:b/>
          <w:sz w:val="24"/>
          <w:szCs w:val="24"/>
        </w:rPr>
        <w:t>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由评标专家负责对投标文件的技术部分采用记名方式各自评分。</w:t>
      </w:r>
      <w:r>
        <w:rPr>
          <w:rFonts w:hint="eastAsia" w:ascii="宋体" w:hAnsi="宋体" w:cs="黑体"/>
          <w:sz w:val="24"/>
          <w:szCs w:val="24"/>
        </w:rPr>
        <w:t>投标人的最终技术部分的得分</w:t>
      </w:r>
      <w:r>
        <w:rPr>
          <w:rFonts w:hint="eastAsia" w:ascii="宋体" w:hAnsi="宋体"/>
          <w:sz w:val="24"/>
          <w:szCs w:val="24"/>
        </w:rPr>
        <w:t>为全体评标专家评分的算术平均值。如某一份评分表中某一项评分，超过评分细则所规定的分值范围，则该张打分表无效。</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680"/>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60" w:type="dxa"/>
            <w:vAlign w:val="center"/>
          </w:tcPr>
          <w:p>
            <w:pPr>
              <w:jc w:val="center"/>
              <w:rPr>
                <w:rFonts w:ascii="Arial" w:hAnsi="Arial" w:eastAsia="黑体" w:cs="Arial"/>
                <w:sz w:val="24"/>
              </w:rPr>
            </w:pPr>
            <w:r>
              <w:rPr>
                <w:rFonts w:ascii="Arial" w:hAnsi="Arial" w:eastAsia="黑体" w:cs="Arial"/>
                <w:sz w:val="24"/>
              </w:rPr>
              <w:t>项目</w:t>
            </w:r>
          </w:p>
        </w:tc>
        <w:tc>
          <w:tcPr>
            <w:tcW w:w="6680" w:type="dxa"/>
            <w:vAlign w:val="center"/>
          </w:tcPr>
          <w:p>
            <w:pPr>
              <w:jc w:val="center"/>
              <w:rPr>
                <w:rFonts w:ascii="Arial" w:hAnsi="Arial" w:eastAsia="黑体" w:cs="Arial"/>
                <w:sz w:val="24"/>
              </w:rPr>
            </w:pPr>
            <w:r>
              <w:rPr>
                <w:rFonts w:ascii="Arial" w:hAnsi="Arial" w:eastAsia="黑体" w:cs="Arial"/>
                <w:sz w:val="24"/>
              </w:rPr>
              <w:t>评分标准</w:t>
            </w:r>
          </w:p>
        </w:tc>
        <w:tc>
          <w:tcPr>
            <w:tcW w:w="1028" w:type="dxa"/>
            <w:vAlign w:val="center"/>
          </w:tcPr>
          <w:p>
            <w:pPr>
              <w:jc w:val="center"/>
              <w:rPr>
                <w:rFonts w:ascii="Arial" w:hAnsi="Arial" w:eastAsia="黑体" w:cs="Arial"/>
                <w:sz w:val="24"/>
              </w:rPr>
            </w:pPr>
            <w:r>
              <w:rPr>
                <w:rFonts w:ascii="Arial" w:hAnsi="Arial" w:eastAsia="黑体" w:cs="Arial"/>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60" w:type="dxa"/>
            <w:vAlign w:val="center"/>
          </w:tcPr>
          <w:p>
            <w:pPr>
              <w:contextualSpacing/>
              <w:rPr>
                <w:rFonts w:ascii="宋体" w:hAnsi="宋体"/>
                <w:kern w:val="0"/>
                <w:szCs w:val="21"/>
              </w:rPr>
            </w:pPr>
            <w:r>
              <w:rPr>
                <w:rFonts w:ascii="宋体" w:hAnsi="宋体"/>
                <w:kern w:val="0"/>
                <w:szCs w:val="21"/>
              </w:rPr>
              <w:t>综合实力</w:t>
            </w:r>
          </w:p>
        </w:tc>
        <w:tc>
          <w:tcPr>
            <w:tcW w:w="6680" w:type="dxa"/>
            <w:vAlign w:val="center"/>
          </w:tcPr>
          <w:p>
            <w:pPr>
              <w:contextualSpacing/>
              <w:rPr>
                <w:rFonts w:ascii="宋体" w:hAnsi="宋体"/>
                <w:kern w:val="0"/>
                <w:szCs w:val="21"/>
              </w:rPr>
            </w:pPr>
            <w:r>
              <w:rPr>
                <w:rFonts w:ascii="宋体" w:hAnsi="宋体"/>
                <w:kern w:val="0"/>
                <w:szCs w:val="21"/>
              </w:rPr>
              <w:t>根据投标人综合实力进行评价</w:t>
            </w:r>
            <w:r>
              <w:rPr>
                <w:rFonts w:hint="eastAsia" w:ascii="宋体" w:hAnsi="宋体"/>
                <w:kern w:val="0"/>
                <w:szCs w:val="21"/>
              </w:rPr>
              <w:t>。</w:t>
            </w:r>
          </w:p>
        </w:tc>
        <w:tc>
          <w:tcPr>
            <w:tcW w:w="1028" w:type="dxa"/>
            <w:vAlign w:val="center"/>
          </w:tcPr>
          <w:p>
            <w:pPr>
              <w:contextualSpacing/>
              <w:jc w:val="center"/>
              <w:rPr>
                <w:rFonts w:ascii="宋体" w:hAnsi="宋体"/>
                <w:kern w:val="0"/>
                <w:szCs w:val="21"/>
              </w:rPr>
            </w:pPr>
            <w:r>
              <w:rPr>
                <w:rFonts w:ascii="宋体" w:hAnsi="宋体"/>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560" w:type="dxa"/>
            <w:vAlign w:val="center"/>
          </w:tcPr>
          <w:p>
            <w:pPr>
              <w:contextualSpacing/>
              <w:rPr>
                <w:rFonts w:ascii="宋体" w:hAnsi="宋体"/>
                <w:kern w:val="0"/>
                <w:szCs w:val="21"/>
              </w:rPr>
            </w:pPr>
            <w:r>
              <w:rPr>
                <w:rFonts w:ascii="宋体" w:hAnsi="宋体"/>
                <w:kern w:val="0"/>
                <w:szCs w:val="21"/>
              </w:rPr>
              <w:t>业绩</w:t>
            </w:r>
          </w:p>
        </w:tc>
        <w:tc>
          <w:tcPr>
            <w:tcW w:w="6680" w:type="dxa"/>
            <w:vAlign w:val="center"/>
          </w:tcPr>
          <w:p>
            <w:pPr>
              <w:contextualSpacing/>
              <w:rPr>
                <w:rFonts w:ascii="宋体" w:hAnsi="宋体"/>
                <w:kern w:val="0"/>
                <w:szCs w:val="21"/>
              </w:rPr>
            </w:pPr>
            <w:r>
              <w:rPr>
                <w:rFonts w:ascii="宋体" w:hAnsi="宋体"/>
                <w:kern w:val="0"/>
                <w:szCs w:val="21"/>
              </w:rPr>
              <w:t>投标人2018年1月1日至今有类似项目业绩的</w:t>
            </w:r>
            <w:r>
              <w:rPr>
                <w:rFonts w:hint="eastAsia" w:ascii="宋体" w:hAnsi="宋体"/>
                <w:kern w:val="0"/>
                <w:szCs w:val="21"/>
              </w:rPr>
              <w:t>（同一业主的合同只算一个），每个合同得2分，满分10分；（投标文件中提供合同复印件及采购单位名称和公章、项目负责人联系电话、合同日期）</w:t>
            </w:r>
          </w:p>
        </w:tc>
        <w:tc>
          <w:tcPr>
            <w:tcW w:w="1028" w:type="dxa"/>
            <w:vAlign w:val="center"/>
          </w:tcPr>
          <w:p>
            <w:pPr>
              <w:contextualSpacing/>
              <w:jc w:val="center"/>
              <w:rPr>
                <w:rFonts w:ascii="宋体" w:hAnsi="宋体"/>
                <w:kern w:val="0"/>
                <w:szCs w:val="21"/>
              </w:rPr>
            </w:pPr>
            <w:r>
              <w:rPr>
                <w:rFonts w:hint="eastAsia" w:ascii="宋体" w:hAnsi="宋体"/>
                <w:kern w:val="0"/>
                <w:szCs w:val="21"/>
              </w:rPr>
              <w:t>10</w:t>
            </w:r>
            <w:r>
              <w:rPr>
                <w:rFonts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560" w:type="dxa"/>
            <w:vAlign w:val="center"/>
          </w:tcPr>
          <w:p>
            <w:pPr>
              <w:contextualSpacing/>
              <w:rPr>
                <w:rFonts w:ascii="宋体" w:hAnsi="宋体"/>
                <w:kern w:val="0"/>
                <w:szCs w:val="21"/>
              </w:rPr>
            </w:pPr>
            <w:r>
              <w:rPr>
                <w:rFonts w:ascii="宋体" w:hAnsi="宋体"/>
                <w:kern w:val="0"/>
                <w:szCs w:val="21"/>
              </w:rPr>
              <w:t>服务网点情况</w:t>
            </w:r>
          </w:p>
        </w:tc>
        <w:tc>
          <w:tcPr>
            <w:tcW w:w="6680" w:type="dxa"/>
            <w:vAlign w:val="center"/>
          </w:tcPr>
          <w:p>
            <w:pPr>
              <w:contextualSpacing/>
              <w:rPr>
                <w:rFonts w:ascii="宋体" w:hAnsi="宋体"/>
                <w:kern w:val="0"/>
                <w:szCs w:val="21"/>
              </w:rPr>
            </w:pPr>
            <w:r>
              <w:rPr>
                <w:rFonts w:ascii="宋体" w:hAnsi="宋体"/>
                <w:kern w:val="0"/>
                <w:szCs w:val="21"/>
              </w:rPr>
              <w:t>在浙江省范围内设有固定办公场所得1分，在金华市区范围内设有固定办公场所2分，在义乌市范围内设有固定办公场所5分，没有得0分。</w:t>
            </w:r>
            <w:r>
              <w:rPr>
                <w:rFonts w:hint="eastAsia" w:ascii="宋体" w:hAnsi="宋体"/>
                <w:kern w:val="0"/>
                <w:szCs w:val="21"/>
              </w:rPr>
              <w:t>（提供办公场所的材料证明）</w:t>
            </w:r>
          </w:p>
        </w:tc>
        <w:tc>
          <w:tcPr>
            <w:tcW w:w="1028" w:type="dxa"/>
            <w:vAlign w:val="center"/>
          </w:tcPr>
          <w:p>
            <w:pPr>
              <w:contextualSpacing/>
              <w:jc w:val="center"/>
              <w:rPr>
                <w:rFonts w:ascii="宋体" w:hAnsi="宋体"/>
                <w:kern w:val="0"/>
                <w:szCs w:val="21"/>
              </w:rPr>
            </w:pPr>
            <w:r>
              <w:rPr>
                <w:rFonts w:ascii="宋体" w:hAnsi="宋体"/>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60" w:type="dxa"/>
            <w:vAlign w:val="center"/>
          </w:tcPr>
          <w:p>
            <w:pPr>
              <w:contextualSpacing/>
              <w:rPr>
                <w:rFonts w:ascii="宋体" w:hAnsi="宋体"/>
                <w:kern w:val="0"/>
                <w:szCs w:val="21"/>
              </w:rPr>
            </w:pPr>
            <w:r>
              <w:rPr>
                <w:rFonts w:ascii="宋体" w:hAnsi="宋体"/>
                <w:kern w:val="0"/>
                <w:szCs w:val="21"/>
              </w:rPr>
              <w:t>维保方案</w:t>
            </w:r>
          </w:p>
        </w:tc>
        <w:tc>
          <w:tcPr>
            <w:tcW w:w="6680" w:type="dxa"/>
            <w:vAlign w:val="center"/>
          </w:tcPr>
          <w:p>
            <w:pPr>
              <w:contextualSpacing/>
              <w:rPr>
                <w:rFonts w:ascii="宋体" w:hAnsi="宋体"/>
                <w:kern w:val="0"/>
                <w:szCs w:val="21"/>
              </w:rPr>
            </w:pPr>
            <w:r>
              <w:rPr>
                <w:rFonts w:ascii="宋体" w:hAnsi="宋体"/>
                <w:kern w:val="0"/>
                <w:szCs w:val="21"/>
              </w:rPr>
              <w:t>维护保养工作方案中维护保养计划、</w:t>
            </w:r>
            <w:r>
              <w:rPr>
                <w:rFonts w:hint="eastAsia" w:ascii="宋体" w:hAnsi="宋体"/>
                <w:kern w:val="0"/>
                <w:szCs w:val="21"/>
              </w:rPr>
              <w:t>月度检查、季度检查、年度检查内容。</w:t>
            </w:r>
          </w:p>
        </w:tc>
        <w:tc>
          <w:tcPr>
            <w:tcW w:w="1028" w:type="dxa"/>
            <w:vAlign w:val="center"/>
          </w:tcPr>
          <w:p>
            <w:pPr>
              <w:contextualSpacing/>
              <w:jc w:val="center"/>
              <w:rPr>
                <w:rFonts w:ascii="宋体" w:hAnsi="宋体"/>
                <w:kern w:val="0"/>
                <w:szCs w:val="21"/>
              </w:rPr>
            </w:pPr>
            <w:r>
              <w:rPr>
                <w:rFonts w:hint="eastAsia" w:ascii="宋体" w:hAnsi="宋体"/>
                <w:kern w:val="0"/>
                <w:szCs w:val="21"/>
              </w:rPr>
              <w:t>2</w:t>
            </w:r>
            <w:r>
              <w:rPr>
                <w:rFonts w:ascii="宋体" w:hAnsi="宋体"/>
                <w:kern w:val="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60" w:type="dxa"/>
            <w:vMerge w:val="restart"/>
            <w:vAlign w:val="center"/>
          </w:tcPr>
          <w:p>
            <w:pPr>
              <w:contextualSpacing/>
              <w:rPr>
                <w:rFonts w:ascii="宋体" w:hAnsi="宋体"/>
                <w:kern w:val="0"/>
                <w:szCs w:val="21"/>
              </w:rPr>
            </w:pPr>
            <w:r>
              <w:rPr>
                <w:rFonts w:ascii="宋体" w:hAnsi="宋体"/>
                <w:kern w:val="0"/>
                <w:szCs w:val="21"/>
              </w:rPr>
              <w:t>拟投入人员资质</w:t>
            </w:r>
          </w:p>
        </w:tc>
        <w:tc>
          <w:tcPr>
            <w:tcW w:w="6680" w:type="dxa"/>
            <w:vAlign w:val="center"/>
          </w:tcPr>
          <w:p>
            <w:pPr>
              <w:contextualSpacing/>
              <w:rPr>
                <w:rFonts w:ascii="宋体" w:hAnsi="宋体"/>
                <w:kern w:val="0"/>
                <w:szCs w:val="21"/>
              </w:rPr>
            </w:pPr>
            <w:r>
              <w:rPr>
                <w:rFonts w:ascii="宋体" w:hAnsi="宋体"/>
                <w:kern w:val="0"/>
                <w:szCs w:val="21"/>
              </w:rPr>
              <w:t>根据投标人提供的人员情况，包括人员数量、职业资格（消防设施维护保养执业人员资格证书等）、项目相关专业技能证书、相应人员实施经验、社保证明、从业时间及所在投标单位任职时间等横向对比综合评分</w:t>
            </w:r>
            <w:r>
              <w:rPr>
                <w:rFonts w:hint="eastAsia" w:ascii="宋体" w:hAnsi="宋体"/>
                <w:kern w:val="0"/>
                <w:szCs w:val="21"/>
              </w:rPr>
              <w:t>。</w:t>
            </w:r>
          </w:p>
        </w:tc>
        <w:tc>
          <w:tcPr>
            <w:tcW w:w="1028" w:type="dxa"/>
            <w:vAlign w:val="center"/>
          </w:tcPr>
          <w:p>
            <w:pPr>
              <w:contextualSpacing/>
              <w:jc w:val="center"/>
              <w:rPr>
                <w:rFonts w:ascii="宋体" w:hAnsi="宋体"/>
                <w:kern w:val="0"/>
                <w:szCs w:val="21"/>
              </w:rPr>
            </w:pPr>
            <w:r>
              <w:rPr>
                <w:rFonts w:hint="eastAsia" w:ascii="宋体" w:hAnsi="宋体"/>
                <w:kern w:val="0"/>
                <w:szCs w:val="21"/>
              </w:rPr>
              <w:t>10</w:t>
            </w:r>
            <w:r>
              <w:rPr>
                <w:rFonts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60" w:type="dxa"/>
            <w:vMerge w:val="continue"/>
            <w:vAlign w:val="center"/>
          </w:tcPr>
          <w:p>
            <w:pPr>
              <w:contextualSpacing/>
              <w:rPr>
                <w:rFonts w:ascii="宋体" w:hAnsi="宋体"/>
                <w:kern w:val="0"/>
                <w:szCs w:val="21"/>
              </w:rPr>
            </w:pPr>
          </w:p>
        </w:tc>
        <w:tc>
          <w:tcPr>
            <w:tcW w:w="6680" w:type="dxa"/>
            <w:vAlign w:val="center"/>
          </w:tcPr>
          <w:p>
            <w:pPr>
              <w:contextualSpacing/>
              <w:rPr>
                <w:rFonts w:ascii="宋体" w:hAnsi="宋体"/>
                <w:kern w:val="0"/>
                <w:szCs w:val="21"/>
              </w:rPr>
            </w:pPr>
            <w:r>
              <w:rPr>
                <w:rFonts w:ascii="宋体" w:hAnsi="宋体"/>
                <w:kern w:val="0"/>
                <w:szCs w:val="21"/>
              </w:rPr>
              <w:t>拟派项目负责人具有注册消防工程师资格的，得5分。</w:t>
            </w:r>
          </w:p>
        </w:tc>
        <w:tc>
          <w:tcPr>
            <w:tcW w:w="1028" w:type="dxa"/>
            <w:vAlign w:val="center"/>
          </w:tcPr>
          <w:p>
            <w:pPr>
              <w:contextualSpacing/>
              <w:jc w:val="center"/>
              <w:rPr>
                <w:rFonts w:ascii="宋体" w:hAnsi="宋体"/>
                <w:kern w:val="0"/>
                <w:szCs w:val="21"/>
              </w:rPr>
            </w:pPr>
            <w:r>
              <w:rPr>
                <w:rFonts w:ascii="宋体" w:hAnsi="宋体"/>
                <w:kern w:val="0"/>
                <w:szCs w:val="21"/>
              </w:rPr>
              <w:t>5</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560" w:type="dxa"/>
            <w:vAlign w:val="center"/>
          </w:tcPr>
          <w:p>
            <w:pPr>
              <w:contextualSpacing/>
              <w:rPr>
                <w:rFonts w:ascii="宋体" w:hAnsi="宋体"/>
                <w:kern w:val="0"/>
                <w:szCs w:val="21"/>
              </w:rPr>
            </w:pPr>
            <w:r>
              <w:rPr>
                <w:rFonts w:ascii="宋体" w:hAnsi="宋体"/>
                <w:kern w:val="0"/>
                <w:szCs w:val="21"/>
              </w:rPr>
              <w:t>优惠方案及承诺</w:t>
            </w:r>
          </w:p>
        </w:tc>
        <w:tc>
          <w:tcPr>
            <w:tcW w:w="6680" w:type="dxa"/>
            <w:vAlign w:val="center"/>
          </w:tcPr>
          <w:p>
            <w:pPr>
              <w:contextualSpacing/>
              <w:rPr>
                <w:rFonts w:ascii="宋体" w:hAnsi="宋体"/>
                <w:kern w:val="0"/>
                <w:szCs w:val="21"/>
              </w:rPr>
            </w:pPr>
            <w:r>
              <w:rPr>
                <w:rFonts w:ascii="宋体" w:hAnsi="宋体"/>
                <w:kern w:val="0"/>
                <w:szCs w:val="21"/>
              </w:rPr>
              <w:t>在规定时间内不能解决故障，甲方有权寻求第三方协助，由此产生的费用由乙方承担的承诺，有此承诺的得 5分，否则不得分。</w:t>
            </w:r>
          </w:p>
        </w:tc>
        <w:tc>
          <w:tcPr>
            <w:tcW w:w="1028" w:type="dxa"/>
            <w:vAlign w:val="center"/>
          </w:tcPr>
          <w:p>
            <w:pPr>
              <w:contextualSpacing/>
              <w:jc w:val="center"/>
              <w:rPr>
                <w:rFonts w:ascii="宋体" w:hAnsi="宋体"/>
                <w:kern w:val="0"/>
                <w:szCs w:val="21"/>
              </w:rPr>
            </w:pPr>
            <w:r>
              <w:rPr>
                <w:rFonts w:ascii="宋体" w:hAnsi="宋体"/>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560" w:type="dxa"/>
            <w:vAlign w:val="center"/>
          </w:tcPr>
          <w:p>
            <w:pPr>
              <w:contextualSpacing/>
              <w:rPr>
                <w:rFonts w:ascii="宋体" w:hAnsi="宋体"/>
                <w:kern w:val="0"/>
                <w:szCs w:val="21"/>
              </w:rPr>
            </w:pPr>
            <w:r>
              <w:rPr>
                <w:rFonts w:ascii="宋体" w:hAnsi="宋体"/>
                <w:kern w:val="0"/>
                <w:szCs w:val="21"/>
              </w:rPr>
              <w:t>节假日保障经济应急措施</w:t>
            </w:r>
          </w:p>
        </w:tc>
        <w:tc>
          <w:tcPr>
            <w:tcW w:w="6680" w:type="dxa"/>
            <w:vAlign w:val="center"/>
          </w:tcPr>
          <w:p>
            <w:pPr>
              <w:contextualSpacing/>
              <w:rPr>
                <w:rFonts w:ascii="宋体" w:hAnsi="宋体"/>
                <w:kern w:val="0"/>
                <w:szCs w:val="21"/>
              </w:rPr>
            </w:pPr>
            <w:r>
              <w:rPr>
                <w:rFonts w:ascii="宋体" w:hAnsi="宋体"/>
                <w:kern w:val="0"/>
                <w:szCs w:val="21"/>
              </w:rPr>
              <w:t>重大活动、节假日的保障方案及人员配备明确</w:t>
            </w:r>
            <w:r>
              <w:rPr>
                <w:rFonts w:hint="eastAsia" w:ascii="宋体" w:hAnsi="宋体"/>
                <w:kern w:val="0"/>
                <w:szCs w:val="21"/>
              </w:rPr>
              <w:t>。</w:t>
            </w:r>
          </w:p>
        </w:tc>
        <w:tc>
          <w:tcPr>
            <w:tcW w:w="1028" w:type="dxa"/>
            <w:vAlign w:val="center"/>
          </w:tcPr>
          <w:p>
            <w:pPr>
              <w:tabs>
                <w:tab w:val="left" w:pos="7020"/>
                <w:tab w:val="left" w:pos="8640"/>
              </w:tabs>
              <w:contextualSpacing/>
              <w:jc w:val="center"/>
              <w:rPr>
                <w:rFonts w:ascii="宋体" w:hAnsi="宋体"/>
                <w:kern w:val="0"/>
                <w:szCs w:val="21"/>
              </w:rPr>
            </w:pPr>
            <w:r>
              <w:rPr>
                <w:rFonts w:ascii="宋体" w:hAnsi="宋体"/>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560" w:type="dxa"/>
            <w:vAlign w:val="center"/>
          </w:tcPr>
          <w:p>
            <w:pPr>
              <w:contextualSpacing/>
              <w:rPr>
                <w:rFonts w:ascii="宋体" w:hAnsi="宋体"/>
                <w:kern w:val="0"/>
                <w:szCs w:val="21"/>
              </w:rPr>
            </w:pPr>
            <w:r>
              <w:rPr>
                <w:rFonts w:ascii="宋体" w:hAnsi="宋体"/>
                <w:kern w:val="0"/>
                <w:szCs w:val="21"/>
              </w:rPr>
              <w:t>培训方案</w:t>
            </w:r>
          </w:p>
        </w:tc>
        <w:tc>
          <w:tcPr>
            <w:tcW w:w="6680" w:type="dxa"/>
            <w:vAlign w:val="center"/>
          </w:tcPr>
          <w:p>
            <w:pPr>
              <w:contextualSpacing/>
              <w:rPr>
                <w:rFonts w:ascii="宋体" w:hAnsi="宋体"/>
                <w:kern w:val="0"/>
                <w:szCs w:val="21"/>
              </w:rPr>
            </w:pPr>
            <w:r>
              <w:rPr>
                <w:rFonts w:ascii="宋体" w:hAnsi="宋体"/>
                <w:kern w:val="0"/>
                <w:szCs w:val="21"/>
              </w:rPr>
              <w:t>提供的消控值班员培训方案</w:t>
            </w:r>
            <w:r>
              <w:rPr>
                <w:rFonts w:hint="eastAsia" w:ascii="宋体" w:hAnsi="宋体"/>
                <w:kern w:val="0"/>
                <w:szCs w:val="21"/>
              </w:rPr>
              <w:t>。</w:t>
            </w:r>
          </w:p>
        </w:tc>
        <w:tc>
          <w:tcPr>
            <w:tcW w:w="1028" w:type="dxa"/>
            <w:vAlign w:val="center"/>
          </w:tcPr>
          <w:p>
            <w:pPr>
              <w:tabs>
                <w:tab w:val="left" w:pos="7020"/>
                <w:tab w:val="left" w:pos="8640"/>
              </w:tabs>
              <w:contextualSpacing/>
              <w:jc w:val="center"/>
              <w:rPr>
                <w:rFonts w:ascii="宋体" w:hAnsi="宋体"/>
                <w:kern w:val="0"/>
                <w:szCs w:val="21"/>
              </w:rPr>
            </w:pPr>
            <w:r>
              <w:rPr>
                <w:rFonts w:ascii="宋体" w:hAnsi="宋体"/>
                <w:kern w:val="0"/>
                <w:szCs w:val="21"/>
              </w:rPr>
              <w:t>5分</w:t>
            </w:r>
          </w:p>
        </w:tc>
      </w:tr>
    </w:tbl>
    <w:p>
      <w:pPr>
        <w:adjustRightInd w:val="0"/>
        <w:snapToGrid w:val="0"/>
        <w:spacing w:line="360" w:lineRule="auto"/>
        <w:rPr>
          <w:rFonts w:ascii="宋体" w:hAnsi="宋体"/>
          <w:sz w:val="24"/>
          <w:szCs w:val="24"/>
        </w:rPr>
      </w:pPr>
    </w:p>
    <w:p>
      <w:pPr>
        <w:adjustRightInd w:val="0"/>
        <w:snapToGrid w:val="0"/>
        <w:spacing w:line="360" w:lineRule="auto"/>
        <w:rPr>
          <w:rFonts w:ascii="宋体" w:hAnsi="宋体"/>
          <w:b/>
          <w:sz w:val="24"/>
          <w:szCs w:val="24"/>
        </w:rPr>
      </w:pPr>
      <w:r>
        <w:rPr>
          <w:rFonts w:hint="eastAsia" w:ascii="宋体" w:hAnsi="宋体"/>
          <w:b/>
          <w:sz w:val="24"/>
          <w:szCs w:val="24"/>
        </w:rPr>
        <w:t>2、商务评审（总分</w:t>
      </w:r>
      <w:r>
        <w:rPr>
          <w:rFonts w:ascii="宋体" w:hAnsi="宋体"/>
          <w:b/>
          <w:sz w:val="24"/>
          <w:szCs w:val="24"/>
        </w:rPr>
        <w:t>30</w:t>
      </w:r>
      <w:r>
        <w:rPr>
          <w:rFonts w:hint="eastAsia" w:ascii="宋体" w:hAnsi="宋体"/>
          <w:b/>
          <w:sz w:val="24"/>
          <w:szCs w:val="24"/>
        </w:rPr>
        <w:t>分）</w:t>
      </w:r>
    </w:p>
    <w:p>
      <w:pPr>
        <w:adjustRightInd w:val="0"/>
        <w:snapToGrid w:val="0"/>
        <w:spacing w:line="360" w:lineRule="auto"/>
        <w:ind w:firstLine="480" w:firstLineChars="200"/>
        <w:rPr>
          <w:rFonts w:ascii="宋体" w:hAnsi="宋体"/>
          <w:sz w:val="24"/>
          <w:szCs w:val="24"/>
        </w:rPr>
      </w:pPr>
      <w:r>
        <w:rPr>
          <w:rFonts w:ascii="宋体" w:hAnsi="宋体"/>
          <w:sz w:val="24"/>
          <w:szCs w:val="24"/>
        </w:rPr>
        <w:t>评标基准价以满足招标文件要求且投标价格最低的投标报价为评标基准价，其商务报价分为30分</w:t>
      </w:r>
      <w:r>
        <w:rPr>
          <w:rFonts w:hint="eastAsia" w:ascii="宋体" w:hAnsi="宋体"/>
          <w:sz w:val="24"/>
          <w:szCs w:val="24"/>
        </w:rPr>
        <w:t>。</w:t>
      </w:r>
    </w:p>
    <w:p>
      <w:pPr>
        <w:adjustRightInd w:val="0"/>
        <w:snapToGrid w:val="0"/>
        <w:spacing w:line="360" w:lineRule="auto"/>
        <w:ind w:firstLine="482" w:firstLineChars="200"/>
        <w:jc w:val="center"/>
        <w:rPr>
          <w:rFonts w:ascii="宋体" w:hAnsi="宋体"/>
          <w:b/>
          <w:sz w:val="24"/>
          <w:szCs w:val="24"/>
        </w:rPr>
      </w:pPr>
      <w:r>
        <w:rPr>
          <w:rFonts w:ascii="宋体" w:hAnsi="宋体"/>
          <w:b/>
          <w:sz w:val="24"/>
          <w:szCs w:val="24"/>
        </w:rPr>
        <w:t>商务得分=（评标基准价/投标报价）×30%×100，保留小数2位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由商务评标专家对投标文件进行商务评审。商务评标专家应对商务报价的范围、单价等进行全面审阅和对比分析，找出报价差异的原因及存在的问题。商务报价评审应以报价口径范围一致的评标价为依据。评标价应在最终报价的基础上，按照招标文件约定的因素和方法进行计算。凡属招标文件的原因造成报价口径范围不一致的，应予以调整，但因投标人自身失误造成多算、少算、漏算的，不得调整。</w:t>
      </w:r>
    </w:p>
    <w:p>
      <w:pPr>
        <w:adjustRightInd w:val="0"/>
        <w:snapToGrid w:val="0"/>
        <w:spacing w:line="360" w:lineRule="auto"/>
        <w:rPr>
          <w:rFonts w:ascii="宋体" w:hAnsi="宋体"/>
          <w:sz w:val="24"/>
          <w:szCs w:val="24"/>
        </w:rPr>
      </w:pPr>
      <w:r>
        <w:rPr>
          <w:rFonts w:hint="eastAsia" w:ascii="宋体" w:hAnsi="宋体"/>
          <w:sz w:val="24"/>
          <w:szCs w:val="24"/>
        </w:rPr>
        <w:t>3、投标人的综合得分为以上两部分评分的总和。</w:t>
      </w:r>
    </w:p>
    <w:p>
      <w:pPr>
        <w:adjustRightInd w:val="0"/>
        <w:snapToGrid w:val="0"/>
        <w:spacing w:line="360" w:lineRule="auto"/>
        <w:rPr>
          <w:rFonts w:ascii="宋体" w:hAnsi="宋体" w:cs="Courier New"/>
          <w:b/>
          <w:bCs/>
          <w:sz w:val="24"/>
          <w:szCs w:val="24"/>
        </w:rPr>
      </w:pPr>
      <w:r>
        <w:rPr>
          <w:rFonts w:hint="eastAsia" w:ascii="宋体" w:hAnsi="宋体" w:cs="Courier New"/>
          <w:b/>
          <w:bCs/>
          <w:sz w:val="24"/>
          <w:szCs w:val="24"/>
        </w:rPr>
        <w:t xml:space="preserve">二、评标报告 </w:t>
      </w:r>
    </w:p>
    <w:p>
      <w:pPr>
        <w:adjustRightInd w:val="0"/>
        <w:snapToGrid w:val="0"/>
        <w:spacing w:line="360" w:lineRule="auto"/>
        <w:ind w:firstLine="435"/>
        <w:rPr>
          <w:rFonts w:ascii="宋体" w:hAnsi="宋体"/>
          <w:sz w:val="24"/>
          <w:szCs w:val="24"/>
        </w:rPr>
      </w:pPr>
      <w:r>
        <w:rPr>
          <w:rFonts w:hint="eastAsia" w:ascii="宋体" w:hAnsi="宋体"/>
          <w:sz w:val="24"/>
          <w:szCs w:val="24"/>
        </w:rPr>
        <w:t>评标委员会应根据评标情况和结果，向招标领导小组提交评标报告。评标报告应由评标委员会起草，按少数服从多数的原则通过。评标委员会全体成员应在评标报告上签字认可，评标专家如有保留意见可以在评标报告中阐明。</w:t>
      </w:r>
    </w:p>
    <w:p>
      <w:pPr>
        <w:adjustRightInd w:val="0"/>
        <w:snapToGrid w:val="0"/>
        <w:spacing w:line="360" w:lineRule="auto"/>
        <w:ind w:firstLine="435"/>
        <w:rPr>
          <w:rFonts w:ascii="宋体" w:hAnsi="宋体"/>
          <w:sz w:val="24"/>
          <w:szCs w:val="24"/>
        </w:rPr>
      </w:pPr>
      <w:r>
        <w:rPr>
          <w:rFonts w:hint="eastAsia" w:ascii="宋体" w:hAnsi="宋体"/>
          <w:sz w:val="24"/>
          <w:szCs w:val="24"/>
        </w:rPr>
        <w:t>评标委员会应在评标报告中，由得分从高到低推荐前二名为中标候选人。得分相同时，投标价低者优先。若第一中标候选人在中标后30天内拒绝与采购人签订合同的，采购人可以与符合标的的第二中标候选人签约；若第一中标候选人签订合同后未按合同及采购人要求提供服务，采购人有权与其解除合同并与符合标的的第二中标候选人签订采购合同。</w:t>
      </w: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第五章</w:t>
      </w:r>
      <w:r>
        <w:rPr>
          <w:rFonts w:ascii="宋体" w:hAnsi="宋体"/>
          <w:b/>
          <w:sz w:val="32"/>
          <w:szCs w:val="32"/>
        </w:rPr>
        <w:t xml:space="preserve">  </w:t>
      </w:r>
      <w:r>
        <w:rPr>
          <w:rFonts w:hint="eastAsia" w:ascii="宋体" w:hAnsi="宋体"/>
          <w:b/>
          <w:sz w:val="32"/>
          <w:szCs w:val="32"/>
        </w:rPr>
        <w:t>投标相关文件格式</w:t>
      </w:r>
    </w:p>
    <w:p>
      <w:pPr>
        <w:widowControl/>
        <w:tabs>
          <w:tab w:val="left" w:pos="0"/>
        </w:tabs>
        <w:snapToGrid w:val="0"/>
        <w:spacing w:line="360" w:lineRule="auto"/>
        <w:jc w:val="left"/>
        <w:rPr>
          <w:rFonts w:ascii="宋体" w:hAnsi="宋体"/>
          <w:b/>
          <w:bCs/>
          <w:kern w:val="0"/>
          <w:sz w:val="32"/>
          <w:szCs w:val="32"/>
        </w:rPr>
      </w:pPr>
    </w:p>
    <w:p>
      <w:pPr>
        <w:widowControl/>
        <w:spacing w:before="260" w:after="260" w:line="270" w:lineRule="atLeast"/>
        <w:ind w:left="-141" w:leftChars="-67"/>
        <w:jc w:val="left"/>
        <w:rPr>
          <w:rFonts w:ascii="宋体" w:hAnsi="宋体"/>
          <w:b/>
          <w:bCs/>
          <w:kern w:val="0"/>
          <w:szCs w:val="21"/>
        </w:rPr>
      </w:pPr>
      <w:bookmarkStart w:id="0" w:name="_Toc350938485"/>
      <w:r>
        <w:rPr>
          <w:rFonts w:ascii="宋体" w:hAnsi="宋体"/>
          <w:kern w:val="0"/>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10795</wp:posOffset>
                </wp:positionV>
                <wp:extent cx="1028700" cy="495300"/>
                <wp:effectExtent l="10795" t="11430" r="8255" b="762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pPr>
                              <w:spacing w:line="480" w:lineRule="atLeast"/>
                              <w:rPr>
                                <w:rFonts w:ascii="Verdana" w:hAnsi="Verdana"/>
                                <w:b/>
                                <w:sz w:val="28"/>
                                <w:szCs w:val="28"/>
                              </w:rPr>
                            </w:pPr>
                            <w:r>
                              <w:rPr>
                                <w:rFonts w:hint="eastAsia"/>
                                <w:b/>
                                <w:sz w:val="28"/>
                                <w:szCs w:val="28"/>
                              </w:rPr>
                              <w:t>正（副）本</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83.25pt;margin-top:0.85pt;height:39pt;width:81pt;z-index:251659264;mso-width-relative:page;mso-height-relative:page;" fillcolor="#FFFFFF" filled="t" stroked="t" coordsize="21600,21600" o:gfxdata="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JF8BNUAAAAIAQAADwAAAAAAAAABACAAAAAiAAAAZHJzL2Rvd25yZXYueG1sUEsBAhQA&#10;FAAAAAgAh07iQC6J42wuAgAAhgQAAA4AAAAAAAAAAQAgAAAAJAEAAGRycy9lMm9Eb2MueG1sUEsF&#10;BgAAAAAGAAYAWQEAAMQFAAAAAA==&#10;">
                <v:fill on="t" focussize="0,0"/>
                <v:stroke color="#000000" miterlimit="8"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r>
        <w:rPr>
          <w:rFonts w:ascii="宋体" w:hAnsi="宋体"/>
          <w:b/>
          <w:bCs/>
          <w:kern w:val="0"/>
          <w:sz w:val="36"/>
          <w:szCs w:val="36"/>
        </w:rPr>
        <w:t>附件</w:t>
      </w:r>
      <w:r>
        <w:rPr>
          <w:rFonts w:hint="eastAsia" w:ascii="宋体" w:hAnsi="宋体"/>
          <w:b/>
          <w:bCs/>
          <w:kern w:val="0"/>
          <w:sz w:val="36"/>
          <w:szCs w:val="36"/>
        </w:rPr>
        <w:t>一</w:t>
      </w:r>
      <w:r>
        <w:rPr>
          <w:rFonts w:ascii="宋体" w:hAnsi="宋体"/>
          <w:b/>
          <w:bCs/>
          <w:kern w:val="0"/>
          <w:sz w:val="36"/>
          <w:szCs w:val="36"/>
        </w:rPr>
        <w:t xml:space="preserve">                 封面格式1</w:t>
      </w:r>
      <w:bookmarkEnd w:id="0"/>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885" w:firstLineChars="245"/>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（技术文件）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widowControl/>
        <w:spacing w:before="150" w:after="150" w:line="480" w:lineRule="atLeast"/>
        <w:ind w:right="300"/>
        <w:jc w:val="left"/>
        <w:rPr>
          <w:rFonts w:ascii="宋体" w:hAnsi="宋体"/>
          <w:b/>
          <w:bCs/>
          <w:kern w:val="0"/>
          <w:sz w:val="32"/>
          <w:szCs w:val="32"/>
        </w:rPr>
      </w:pPr>
    </w:p>
    <w:p>
      <w:pPr>
        <w:widowControl/>
        <w:spacing w:before="150" w:after="150" w:line="480" w:lineRule="atLeast"/>
        <w:ind w:right="300"/>
        <w:jc w:val="left"/>
        <w:rPr>
          <w:rFonts w:ascii="宋体" w:hAnsi="宋体"/>
          <w:b/>
          <w:bCs/>
          <w:kern w:val="0"/>
          <w:sz w:val="32"/>
          <w:szCs w:val="32"/>
        </w:rPr>
      </w:pPr>
    </w:p>
    <w:p>
      <w:pPr>
        <w:widowControl/>
        <w:spacing w:before="150" w:after="150" w:line="480" w:lineRule="atLeast"/>
        <w:ind w:right="300"/>
        <w:jc w:val="left"/>
        <w:rPr>
          <w:rFonts w:ascii="宋体" w:hAnsi="宋体"/>
          <w:kern w:val="0"/>
        </w:rPr>
      </w:pPr>
    </w:p>
    <w:p>
      <w:pPr>
        <w:widowControl/>
        <w:spacing w:before="260" w:after="260" w:line="270" w:lineRule="atLeast"/>
        <w:ind w:left="-141" w:leftChars="-67"/>
        <w:jc w:val="left"/>
        <w:rPr>
          <w:rFonts w:ascii="宋体" w:hAnsi="宋体"/>
          <w:b/>
          <w:bCs/>
          <w:kern w:val="0"/>
          <w:sz w:val="36"/>
          <w:szCs w:val="36"/>
        </w:rPr>
      </w:pPr>
      <w:bookmarkStart w:id="1" w:name="_Toc350938486"/>
    </w:p>
    <w:p>
      <w:pPr>
        <w:widowControl/>
        <w:spacing w:before="260" w:after="260" w:line="270" w:lineRule="atLeast"/>
        <w:ind w:left="-141" w:leftChars="-67"/>
        <w:jc w:val="left"/>
        <w:rPr>
          <w:rFonts w:ascii="宋体" w:hAnsi="宋体"/>
          <w:b/>
          <w:bCs/>
          <w:kern w:val="0"/>
          <w:sz w:val="36"/>
          <w:szCs w:val="36"/>
        </w:rPr>
      </w:pPr>
      <w:r>
        <w:rPr>
          <w:rFonts w:ascii="宋体" w:hAnsi="宋体"/>
          <w:kern w:val="0"/>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29210</wp:posOffset>
                </wp:positionV>
                <wp:extent cx="1028700" cy="495300"/>
                <wp:effectExtent l="10795" t="8890" r="8255" b="1016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pPr>
                              <w:spacing w:line="480" w:lineRule="atLeast"/>
                              <w:rPr>
                                <w:rFonts w:ascii="Verdana" w:hAnsi="Verdana"/>
                                <w:b/>
                                <w:sz w:val="28"/>
                                <w:szCs w:val="28"/>
                              </w:rPr>
                            </w:pPr>
                            <w:r>
                              <w:rPr>
                                <w:rFonts w:hint="eastAsia"/>
                                <w:b/>
                                <w:sz w:val="28"/>
                                <w:szCs w:val="28"/>
                              </w:rPr>
                              <w:t>正（副）本</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381.75pt;margin-top:2.3pt;height:39pt;width:81pt;z-index:251660288;mso-width-relative:page;mso-height-relative:page;" fillcolor="#FFFFFF" filled="t" stroked="t" coordsize="21600,21600" o:gfxdata="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sqG9e1wAAAAgBAAAPAAAAAAAAAAEAIAAAACIAAABkcnMvZG93bnJldi54bWxQSwEC&#10;FAAUAAAACACHTuJAN5At2C4CAACGBAAADgAAAAAAAAABACAAAAAmAQAAZHJzL2Uyb0RvYy54bWxQ&#10;SwUGAAAAAAYABgBZAQAAxgUAAAAA&#10;">
                <v:fill on="t" focussize="0,0"/>
                <v:stroke color="#000000" miterlimit="8"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260" w:after="260" w:line="270" w:lineRule="atLeast"/>
        <w:jc w:val="left"/>
        <w:rPr>
          <w:rFonts w:ascii="宋体" w:hAnsi="宋体"/>
          <w:b/>
          <w:bCs/>
          <w:kern w:val="0"/>
          <w:szCs w:val="21"/>
        </w:rPr>
      </w:pPr>
      <w:r>
        <w:rPr>
          <w:rFonts w:ascii="宋体" w:hAnsi="宋体"/>
          <w:b/>
          <w:bCs/>
          <w:kern w:val="0"/>
          <w:sz w:val="36"/>
          <w:szCs w:val="36"/>
        </w:rPr>
        <w:t>附件</w:t>
      </w:r>
      <w:r>
        <w:rPr>
          <w:rFonts w:hint="eastAsia" w:ascii="宋体" w:hAnsi="宋体"/>
          <w:b/>
          <w:bCs/>
          <w:kern w:val="0"/>
          <w:sz w:val="36"/>
          <w:szCs w:val="36"/>
        </w:rPr>
        <w:t>二</w:t>
      </w:r>
      <w:r>
        <w:rPr>
          <w:rFonts w:ascii="宋体" w:hAnsi="宋体"/>
          <w:b/>
          <w:bCs/>
          <w:kern w:val="0"/>
          <w:sz w:val="36"/>
          <w:szCs w:val="36"/>
        </w:rPr>
        <w:t xml:space="preserve">                  封面格式2</w:t>
      </w:r>
      <w:bookmarkEnd w:id="1"/>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450"/>
          <w:tab w:val="left" w:pos="8280"/>
        </w:tabs>
        <w:spacing w:line="360" w:lineRule="auto"/>
        <w:ind w:left="-141" w:leftChars="-67" w:firstLine="531" w:firstLineChars="147"/>
        <w:jc w:val="left"/>
        <w:rPr>
          <w:rFonts w:ascii="宋体" w:hAnsi="宋体"/>
          <w:b/>
          <w:kern w:val="0"/>
          <w:sz w:val="44"/>
          <w:szCs w:val="44"/>
        </w:rPr>
      </w:pPr>
      <w:r>
        <w:rPr>
          <w:rFonts w:ascii="宋体" w:hAnsi="宋体"/>
          <w:b/>
          <w:kern w:val="0"/>
          <w:sz w:val="36"/>
          <w:szCs w:val="36"/>
          <w:u w:val="single"/>
        </w:rPr>
        <w:t xml:space="preserve">                                        </w:t>
      </w:r>
      <w:r>
        <w:rPr>
          <w:rFonts w:ascii="宋体" w:hAnsi="宋体"/>
          <w:b/>
          <w:kern w:val="0"/>
          <w:sz w:val="44"/>
          <w:szCs w:val="44"/>
        </w:rPr>
        <w:t>项目</w:t>
      </w:r>
    </w:p>
    <w:p>
      <w:pPr>
        <w:widowControl/>
        <w:tabs>
          <w:tab w:val="left" w:pos="450"/>
          <w:tab w:val="left" w:pos="8280"/>
        </w:tabs>
        <w:spacing w:line="360" w:lineRule="auto"/>
        <w:ind w:left="-141" w:leftChars="-67" w:firstLine="480"/>
        <w:jc w:val="center"/>
        <w:rPr>
          <w:rFonts w:ascii="宋体" w:hAnsi="宋体"/>
          <w:b/>
          <w:kern w:val="0"/>
          <w:sz w:val="44"/>
          <w:szCs w:val="44"/>
        </w:rPr>
      </w:pPr>
    </w:p>
    <w:p>
      <w:pPr>
        <w:widowControl/>
        <w:tabs>
          <w:tab w:val="left" w:pos="450"/>
          <w:tab w:val="left" w:pos="8280"/>
        </w:tabs>
        <w:spacing w:line="360" w:lineRule="auto"/>
        <w:ind w:left="-141" w:leftChars="-67" w:firstLine="480"/>
        <w:jc w:val="center"/>
        <w:rPr>
          <w:rFonts w:ascii="宋体" w:hAnsi="宋体"/>
          <w:b/>
          <w:kern w:val="0"/>
          <w:sz w:val="44"/>
          <w:szCs w:val="44"/>
        </w:rPr>
      </w:pPr>
      <w:r>
        <w:rPr>
          <w:rFonts w:ascii="宋体" w:hAnsi="宋体"/>
          <w:b/>
          <w:kern w:val="0"/>
          <w:sz w:val="44"/>
          <w:szCs w:val="44"/>
        </w:rPr>
        <w:t>投标文件</w:t>
      </w:r>
    </w:p>
    <w:p>
      <w:pPr>
        <w:widowControl/>
        <w:tabs>
          <w:tab w:val="left" w:pos="8280"/>
        </w:tabs>
        <w:spacing w:line="360" w:lineRule="auto"/>
        <w:ind w:left="-141" w:leftChars="-67" w:firstLine="480"/>
        <w:jc w:val="center"/>
        <w:rPr>
          <w:rFonts w:ascii="宋体" w:hAnsi="宋体"/>
          <w:b/>
          <w:kern w:val="0"/>
          <w:sz w:val="32"/>
          <w:szCs w:val="32"/>
        </w:rPr>
      </w:pPr>
      <w:r>
        <w:rPr>
          <w:rFonts w:ascii="宋体" w:hAnsi="宋体"/>
          <w:b/>
          <w:kern w:val="0"/>
          <w:sz w:val="32"/>
          <w:szCs w:val="32"/>
        </w:rPr>
        <w:t>（商务文件）</w:t>
      </w:r>
    </w:p>
    <w:p>
      <w:pPr>
        <w:widowControl/>
        <w:tabs>
          <w:tab w:val="left" w:pos="275"/>
          <w:tab w:val="left" w:pos="8280"/>
        </w:tabs>
        <w:spacing w:line="360" w:lineRule="auto"/>
        <w:ind w:left="-141" w:leftChars="-67" w:firstLine="480"/>
        <w:jc w:val="left"/>
        <w:rPr>
          <w:rFonts w:ascii="宋体" w:hAnsi="宋体"/>
          <w:b/>
          <w:kern w:val="0"/>
          <w:sz w:val="36"/>
          <w:szCs w:val="36"/>
        </w:rPr>
      </w:pPr>
      <w:r>
        <w:rPr>
          <w:rFonts w:ascii="宋体" w:hAnsi="宋体"/>
          <w:b/>
          <w:kern w:val="0"/>
          <w:sz w:val="36"/>
          <w:szCs w:val="36"/>
        </w:rPr>
        <w:tab/>
      </w:r>
    </w:p>
    <w:p>
      <w:pPr>
        <w:widowControl/>
        <w:tabs>
          <w:tab w:val="left" w:pos="275"/>
          <w:tab w:val="left" w:pos="8280"/>
        </w:tabs>
        <w:spacing w:line="360" w:lineRule="auto"/>
        <w:ind w:left="-141" w:leftChars="-67"/>
        <w:jc w:val="left"/>
        <w:rPr>
          <w:rFonts w:ascii="宋体" w:hAnsi="宋体"/>
          <w:b/>
          <w:kern w:val="0"/>
          <w:sz w:val="32"/>
          <w:szCs w:val="32"/>
        </w:rPr>
      </w:pPr>
    </w:p>
    <w:p>
      <w:pPr>
        <w:widowControl/>
        <w:tabs>
          <w:tab w:val="left" w:pos="27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采购项目编号：</w:t>
      </w:r>
      <w:r>
        <w:rPr>
          <w:rFonts w:ascii="宋体" w:hAnsi="宋体"/>
          <w:b/>
          <w:kern w:val="0"/>
          <w:sz w:val="36"/>
          <w:szCs w:val="36"/>
          <w:u w:val="single"/>
        </w:rPr>
        <w:t xml:space="preserve">                                 </w:t>
      </w:r>
    </w:p>
    <w:p>
      <w:pPr>
        <w:widowControl/>
        <w:tabs>
          <w:tab w:val="left" w:pos="765"/>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投标人（公章）：</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315" w:firstLineChars="98"/>
        <w:jc w:val="left"/>
        <w:rPr>
          <w:rFonts w:ascii="宋体" w:hAnsi="宋体"/>
          <w:b/>
          <w:kern w:val="0"/>
          <w:sz w:val="32"/>
          <w:szCs w:val="32"/>
        </w:rPr>
      </w:pPr>
      <w:r>
        <w:rPr>
          <w:rFonts w:ascii="宋体" w:hAnsi="宋体"/>
          <w:b/>
          <w:kern w:val="0"/>
          <w:sz w:val="32"/>
          <w:szCs w:val="32"/>
        </w:rPr>
        <w:t>投标人法定代表人</w:t>
      </w:r>
    </w:p>
    <w:p>
      <w:pPr>
        <w:widowControl/>
        <w:tabs>
          <w:tab w:val="left" w:pos="840"/>
          <w:tab w:val="left" w:pos="8280"/>
        </w:tabs>
        <w:spacing w:line="360" w:lineRule="auto"/>
        <w:ind w:left="-141" w:leftChars="-67" w:firstLine="315" w:firstLineChars="98"/>
        <w:jc w:val="left"/>
        <w:rPr>
          <w:rFonts w:ascii="宋体" w:hAnsi="宋体"/>
          <w:b/>
          <w:kern w:val="0"/>
          <w:sz w:val="36"/>
          <w:szCs w:val="36"/>
        </w:rPr>
      </w:pPr>
      <w:r>
        <w:rPr>
          <w:rFonts w:ascii="宋体" w:hAnsi="宋体"/>
          <w:b/>
          <w:kern w:val="0"/>
          <w:sz w:val="32"/>
          <w:szCs w:val="32"/>
        </w:rPr>
        <w:t>或其委托人（签字）：</w:t>
      </w:r>
      <w:r>
        <w:rPr>
          <w:rFonts w:ascii="宋体" w:hAnsi="宋体"/>
          <w:b/>
          <w:kern w:val="0"/>
          <w:sz w:val="36"/>
          <w:szCs w:val="36"/>
          <w:u w:val="single"/>
        </w:rPr>
        <w:t xml:space="preserve">                            </w:t>
      </w:r>
    </w:p>
    <w:p>
      <w:pPr>
        <w:widowControl/>
        <w:tabs>
          <w:tab w:val="left" w:pos="8280"/>
        </w:tabs>
        <w:spacing w:line="360" w:lineRule="auto"/>
        <w:ind w:left="-141" w:leftChars="-67" w:firstLine="480"/>
        <w:jc w:val="center"/>
        <w:rPr>
          <w:rFonts w:ascii="宋体" w:hAnsi="宋体"/>
          <w:b/>
          <w:kern w:val="0"/>
          <w:sz w:val="32"/>
          <w:szCs w:val="32"/>
        </w:rPr>
      </w:pPr>
    </w:p>
    <w:p>
      <w:pPr>
        <w:widowControl/>
        <w:tabs>
          <w:tab w:val="left" w:pos="350"/>
          <w:tab w:val="left" w:pos="8280"/>
        </w:tabs>
        <w:spacing w:line="360" w:lineRule="auto"/>
        <w:ind w:left="-141" w:leftChars="-67" w:firstLine="480"/>
        <w:jc w:val="left"/>
        <w:rPr>
          <w:rFonts w:ascii="宋体" w:hAnsi="宋体"/>
          <w:b/>
          <w:kern w:val="0"/>
          <w:sz w:val="32"/>
          <w:szCs w:val="32"/>
        </w:rPr>
      </w:pPr>
      <w:r>
        <w:rPr>
          <w:rFonts w:ascii="宋体" w:hAnsi="宋体"/>
          <w:b/>
          <w:kern w:val="0"/>
          <w:sz w:val="36"/>
          <w:szCs w:val="36"/>
        </w:rPr>
        <w:t xml:space="preserve">                   </w:t>
      </w:r>
      <w:r>
        <w:rPr>
          <w:rFonts w:ascii="宋体" w:hAnsi="宋体"/>
          <w:b/>
          <w:kern w:val="0"/>
          <w:sz w:val="32"/>
          <w:szCs w:val="32"/>
        </w:rPr>
        <w:t>年</w:t>
      </w:r>
      <w:r>
        <w:rPr>
          <w:rFonts w:ascii="宋体" w:hAnsi="宋体"/>
          <w:b/>
          <w:kern w:val="0"/>
          <w:sz w:val="36"/>
          <w:szCs w:val="36"/>
        </w:rPr>
        <w:t xml:space="preserve">     </w:t>
      </w:r>
      <w:r>
        <w:rPr>
          <w:rFonts w:ascii="宋体" w:hAnsi="宋体"/>
          <w:b/>
          <w:kern w:val="0"/>
          <w:sz w:val="32"/>
          <w:szCs w:val="32"/>
        </w:rPr>
        <w:t>月</w:t>
      </w:r>
      <w:r>
        <w:rPr>
          <w:rFonts w:ascii="宋体" w:hAnsi="宋体"/>
          <w:b/>
          <w:kern w:val="0"/>
          <w:sz w:val="36"/>
          <w:szCs w:val="36"/>
        </w:rPr>
        <w:t xml:space="preserve">     </w:t>
      </w:r>
      <w:r>
        <w:rPr>
          <w:rFonts w:ascii="宋体" w:hAnsi="宋体"/>
          <w:b/>
          <w:kern w:val="0"/>
          <w:sz w:val="32"/>
          <w:szCs w:val="32"/>
        </w:rPr>
        <w:t>日</w: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spacing w:line="360" w:lineRule="auto"/>
        <w:rPr>
          <w:rFonts w:ascii="宋体" w:hAnsi="宋体"/>
          <w:b/>
          <w:sz w:val="32"/>
          <w:szCs w:val="32"/>
        </w:rPr>
      </w:pPr>
    </w:p>
    <w:p>
      <w:pPr>
        <w:widowControl/>
        <w:spacing w:line="420" w:lineRule="atLeast"/>
        <w:rPr>
          <w:rFonts w:hint="eastAsia" w:ascii="宋体" w:hAnsi="宋体" w:cs="宋体"/>
          <w:kern w:val="0"/>
          <w:sz w:val="28"/>
          <w:szCs w:val="28"/>
        </w:rPr>
      </w:pPr>
    </w:p>
    <w:p>
      <w:pPr>
        <w:widowControl/>
        <w:spacing w:line="420" w:lineRule="atLeast"/>
        <w:rPr>
          <w:rFonts w:ascii="宋体" w:hAnsi="宋体" w:cs="宋体"/>
          <w:kern w:val="0"/>
          <w:sz w:val="28"/>
          <w:szCs w:val="28"/>
        </w:rPr>
      </w:pPr>
      <w:r>
        <w:rPr>
          <w:rFonts w:hint="eastAsia" w:ascii="宋体" w:hAnsi="宋体" w:cs="宋体"/>
          <w:kern w:val="0"/>
          <w:sz w:val="28"/>
          <w:szCs w:val="28"/>
        </w:rPr>
        <w:t>附件三：                 投标函（格式）</w:t>
      </w:r>
    </w:p>
    <w:p>
      <w:pPr>
        <w:pStyle w:val="6"/>
        <w:spacing w:line="400" w:lineRule="exact"/>
        <w:rPr>
          <w:rFonts w:hAnsi="宋体" w:cs="宋体"/>
          <w:kern w:val="0"/>
          <w:sz w:val="24"/>
          <w:szCs w:val="24"/>
        </w:rPr>
      </w:pPr>
    </w:p>
    <w:p>
      <w:pPr>
        <w:pStyle w:val="6"/>
        <w:spacing w:line="400" w:lineRule="exact"/>
        <w:rPr>
          <w:rFonts w:hAnsi="宋体" w:cs="宋体"/>
          <w:kern w:val="0"/>
          <w:sz w:val="24"/>
          <w:szCs w:val="24"/>
        </w:rPr>
      </w:pPr>
      <w:r>
        <w:rPr>
          <w:rFonts w:hint="eastAsia" w:hAnsi="宋体" w:cs="宋体"/>
          <w:kern w:val="0"/>
          <w:sz w:val="24"/>
          <w:szCs w:val="24"/>
        </w:rPr>
        <w:t xml:space="preserve">致：                  </w:t>
      </w:r>
    </w:p>
    <w:p>
      <w:pPr>
        <w:pStyle w:val="6"/>
        <w:spacing w:line="400" w:lineRule="exact"/>
        <w:rPr>
          <w:rFonts w:hAnsi="宋体" w:cs="宋体"/>
          <w:kern w:val="0"/>
          <w:sz w:val="24"/>
          <w:szCs w:val="24"/>
        </w:rPr>
      </w:pPr>
      <w:r>
        <w:rPr>
          <w:rFonts w:hint="eastAsia" w:hAnsi="宋体" w:cs="宋体"/>
          <w:kern w:val="0"/>
          <w:sz w:val="24"/>
          <w:szCs w:val="24"/>
        </w:rPr>
        <w:t xml:space="preserve">     _________________________（投标人全称）授权_________________（全名、职务）为全权代表参加贵方组织的_________________________项目（招标项目名称、招标编号）       标段的招标、投标等有关活动，为此提交下述文件：</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1、技术标，正本一份，副本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2、商务标，正本一份，副本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3、其他：</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4、据此函，签字代表宣布同意如下：</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 xml:space="preserve">1）所附投标报价表中规定的应提供和支付的设备和服务投标总价为（人民币） </w:t>
      </w:r>
      <w:r>
        <w:rPr>
          <w:rFonts w:hint="eastAsia" w:ascii="宋体" w:hAnsi="宋体" w:cs="宋体"/>
          <w:kern w:val="0"/>
          <w:sz w:val="24"/>
          <w:szCs w:val="24"/>
          <w:u w:val="single"/>
        </w:rPr>
        <w:t>__   _</w:t>
      </w:r>
      <w:r>
        <w:rPr>
          <w:rFonts w:hint="eastAsia" w:ascii="宋体" w:hAnsi="宋体" w:cs="宋体"/>
          <w:kern w:val="0"/>
          <w:sz w:val="24"/>
          <w:szCs w:val="24"/>
        </w:rPr>
        <w:t xml:space="preserve">， 即 </w:t>
      </w:r>
      <w:r>
        <w:rPr>
          <w:rFonts w:hint="eastAsia" w:ascii="宋体" w:hAnsi="宋体" w:cs="宋体"/>
          <w:kern w:val="0"/>
          <w:sz w:val="24"/>
          <w:szCs w:val="24"/>
          <w:u w:val="single"/>
        </w:rPr>
        <w:t>___  ____</w:t>
      </w:r>
      <w:r>
        <w:rPr>
          <w:rFonts w:hint="eastAsia" w:ascii="宋体" w:hAnsi="宋体" w:cs="宋体"/>
          <w:kern w:val="0"/>
          <w:sz w:val="24"/>
          <w:szCs w:val="24"/>
        </w:rPr>
        <w:t>（大写）。（企业成本价为</w:t>
      </w:r>
      <w:r>
        <w:rPr>
          <w:rFonts w:hint="eastAsia" w:ascii="宋体" w:hAnsi="宋体" w:cs="宋体"/>
          <w:kern w:val="0"/>
          <w:sz w:val="24"/>
          <w:szCs w:val="24"/>
          <w:u w:val="single"/>
        </w:rPr>
        <w:t xml:space="preserve">         </w:t>
      </w:r>
      <w:r>
        <w:rPr>
          <w:rFonts w:hint="eastAsia" w:ascii="宋体" w:hAnsi="宋体" w:cs="宋体"/>
          <w:kern w:val="0"/>
          <w:sz w:val="24"/>
          <w:szCs w:val="24"/>
        </w:rPr>
        <w:t>元）</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2）投标人已详细审查全部招标文件，我们完全理解并同意放弃对这方面有不明及误解的权利。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3）投标人将按招标文件规定履行合同责任和义务。</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4）其投标自开标之日起有效期____个日历天。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5）如果在规定的开标时间后，投标人不得在投标有效期内撤回投标。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7）投标文件中未明确的东西，一律按招标文件规定执行。</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8）与本投标有关的一切正式往来通讯请寄：</w:t>
      </w:r>
    </w:p>
    <w:p>
      <w:pPr>
        <w:spacing w:line="600" w:lineRule="exact"/>
        <w:rPr>
          <w:rFonts w:ascii="宋体" w:hAnsi="宋体" w:cs="宋体"/>
          <w:kern w:val="0"/>
          <w:sz w:val="24"/>
          <w:szCs w:val="24"/>
        </w:rPr>
      </w:pPr>
      <w:r>
        <w:rPr>
          <w:rFonts w:hint="eastAsia" w:ascii="宋体" w:hAnsi="宋体" w:cs="宋体"/>
          <w:kern w:val="0"/>
          <w:sz w:val="24"/>
          <w:szCs w:val="24"/>
        </w:rPr>
        <w:t xml:space="preserve">地址：______________________             邮编：______________________  </w:t>
      </w:r>
    </w:p>
    <w:p>
      <w:pPr>
        <w:spacing w:line="600" w:lineRule="exact"/>
        <w:rPr>
          <w:rFonts w:ascii="宋体" w:hAnsi="宋体" w:cs="宋体"/>
          <w:kern w:val="0"/>
          <w:sz w:val="24"/>
          <w:szCs w:val="24"/>
        </w:rPr>
      </w:pPr>
      <w:r>
        <w:rPr>
          <w:rFonts w:hint="eastAsia" w:ascii="宋体" w:hAnsi="宋体" w:cs="宋体"/>
          <w:kern w:val="0"/>
          <w:sz w:val="24"/>
          <w:szCs w:val="24"/>
        </w:rPr>
        <w:t xml:space="preserve">电话：______________________            传真：______________________ </w:t>
      </w:r>
    </w:p>
    <w:p>
      <w:pPr>
        <w:spacing w:line="600" w:lineRule="exact"/>
        <w:rPr>
          <w:rFonts w:ascii="宋体" w:hAnsi="宋体" w:cs="宋体"/>
          <w:kern w:val="0"/>
          <w:sz w:val="24"/>
          <w:szCs w:val="24"/>
        </w:rPr>
      </w:pPr>
      <w:r>
        <w:rPr>
          <w:rFonts w:hint="eastAsia" w:ascii="宋体" w:hAnsi="宋体" w:cs="宋体"/>
          <w:kern w:val="0"/>
          <w:sz w:val="24"/>
          <w:szCs w:val="24"/>
        </w:rPr>
        <w:t>投标人名称：_____________ （公章）      全权代表签字： ____________</w:t>
      </w:r>
    </w:p>
    <w:p>
      <w:pPr>
        <w:spacing w:line="600" w:lineRule="exact"/>
        <w:rPr>
          <w:rFonts w:ascii="宋体" w:hAnsi="宋体" w:cs="宋体"/>
          <w:kern w:val="0"/>
          <w:sz w:val="24"/>
          <w:szCs w:val="24"/>
        </w:rPr>
      </w:pPr>
      <w:r>
        <w:rPr>
          <w:rFonts w:hint="eastAsia" w:ascii="宋体" w:hAnsi="宋体" w:cs="宋体"/>
          <w:kern w:val="0"/>
          <w:sz w:val="24"/>
          <w:szCs w:val="24"/>
        </w:rPr>
        <w:t>投标人代表职务： ______________________</w:t>
      </w:r>
    </w:p>
    <w:p>
      <w:pPr>
        <w:spacing w:line="600" w:lineRule="exact"/>
        <w:rPr>
          <w:rFonts w:ascii="宋体" w:hAnsi="宋体" w:cs="宋体"/>
          <w:kern w:val="0"/>
          <w:sz w:val="24"/>
          <w:szCs w:val="24"/>
        </w:rPr>
      </w:pPr>
      <w:r>
        <w:rPr>
          <w:rFonts w:hint="eastAsia" w:ascii="宋体" w:hAnsi="宋体" w:cs="宋体"/>
          <w:kern w:val="0"/>
          <w:sz w:val="24"/>
          <w:szCs w:val="24"/>
        </w:rPr>
        <w:t xml:space="preserve">投标日期： _______年____月____日      </w:t>
      </w:r>
    </w:p>
    <w:p>
      <w:pPr>
        <w:widowControl/>
        <w:spacing w:line="420" w:lineRule="atLeast"/>
        <w:ind w:firstLine="480"/>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rPr>
          <w:rFonts w:ascii="宋体" w:hAnsi="宋体"/>
          <w:b/>
          <w:bCs/>
          <w:sz w:val="36"/>
          <w:szCs w:val="36"/>
        </w:rPr>
      </w:pPr>
    </w:p>
    <w:p>
      <w:pPr>
        <w:rPr>
          <w:rFonts w:ascii="宋体" w:hAnsi="宋体" w:cs="宋体"/>
          <w:b/>
          <w:bCs/>
          <w:kern w:val="0"/>
          <w:sz w:val="28"/>
          <w:szCs w:val="28"/>
        </w:rPr>
      </w:pPr>
      <w:r>
        <w:rPr>
          <w:rFonts w:hint="eastAsia" w:ascii="宋体" w:hAnsi="宋体" w:cs="宋体"/>
          <w:kern w:val="0"/>
          <w:sz w:val="28"/>
          <w:szCs w:val="28"/>
        </w:rPr>
        <w:t xml:space="preserve">附件四 </w:t>
      </w:r>
      <w:r>
        <w:rPr>
          <w:rFonts w:hint="eastAsia" w:ascii="宋体" w:hAnsi="宋体" w:cs="宋体"/>
          <w:b/>
          <w:bCs/>
          <w:kern w:val="0"/>
          <w:sz w:val="28"/>
          <w:szCs w:val="28"/>
        </w:rPr>
        <w:t xml:space="preserve">        投标人法定代表人授权书（格式）</w:t>
      </w:r>
    </w:p>
    <w:p>
      <w:pPr>
        <w:spacing w:line="480" w:lineRule="auto"/>
        <w:rPr>
          <w:rFonts w:ascii="宋体" w:hAnsi="宋体"/>
          <w:b/>
          <w:sz w:val="48"/>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项目名称：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日    期：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致：（采购人名称）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u w:val="single"/>
          <w:lang w:val="zh-CN"/>
        </w:rPr>
      </w:pPr>
      <w:r>
        <w:rPr>
          <w:rFonts w:hint="eastAsia" w:ascii="宋体" w:hAnsi="宋体" w:cs="宋体"/>
          <w:kern w:val="0"/>
          <w:sz w:val="24"/>
          <w:szCs w:val="24"/>
          <w:lang w:val="zh-CN"/>
        </w:rPr>
        <w:t>注册于</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（注册地址）的</w:t>
      </w:r>
      <w:r>
        <w:rPr>
          <w:rFonts w:hint="eastAsia" w:ascii="宋体" w:hAnsi="宋体" w:cs="宋体"/>
          <w:kern w:val="0"/>
          <w:sz w:val="24"/>
          <w:szCs w:val="24"/>
          <w:u w:val="single"/>
          <w:lang w:val="zh-CN"/>
        </w:rPr>
        <w:t xml:space="preserve">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（投标人名称），系中华人民共和国合法企业；本人</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（授权人姓名）系该公司的法定代表人。现特授权本单位的（被授权人姓名）</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（身份证号码）</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为我公司合法代理人，全权代表我公司办理就</w:t>
      </w:r>
      <w:r>
        <w:rPr>
          <w:rFonts w:hint="eastAsia" w:ascii="宋体" w:hAnsi="宋体" w:cs="宋体"/>
          <w:kern w:val="0"/>
          <w:sz w:val="24"/>
          <w:szCs w:val="24"/>
          <w:u w:val="single"/>
          <w:lang w:val="zh-CN"/>
        </w:rPr>
        <w:t xml:space="preserve">                                                     </w:t>
      </w:r>
      <w:r>
        <w:rPr>
          <w:rFonts w:hint="eastAsia" w:ascii="宋体" w:hAnsi="宋体" w:cs="宋体"/>
          <w:kern w:val="0"/>
          <w:sz w:val="24"/>
          <w:szCs w:val="24"/>
          <w:lang w:val="zh-CN"/>
        </w:rPr>
        <w:t>项目的投标、谈判、签约等具体工作，并签署全部有关的文件、协议及合同。</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我公司对被授权人的签名负全部责任。</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被授权人身份证复印件：</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投标人公章：</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授权人签名：                       职        务：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被授权人签名：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注：投标人法定代表人参加投标的，提供法定代表人证明书和身份证明即可。</w:t>
      </w:r>
    </w:p>
    <w:p>
      <w:pPr>
        <w:spacing w:line="400" w:lineRule="exact"/>
        <w:rPr>
          <w:rFonts w:ascii="宋体" w:hAnsi="宋体" w:cs="宋体"/>
          <w:kern w:val="0"/>
          <w:sz w:val="24"/>
          <w:szCs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napToGrid w:val="0"/>
        <w:spacing w:before="50" w:after="50"/>
        <w:rPr>
          <w:rFonts w:ascii="宋体" w:hAnsi="宋体"/>
          <w:b/>
          <w:sz w:val="24"/>
          <w:szCs w:val="24"/>
        </w:rPr>
      </w:pPr>
      <w:r>
        <w:rPr>
          <w:rFonts w:hint="eastAsia" w:ascii="宋体" w:hAnsi="宋体"/>
          <w:b/>
          <w:sz w:val="24"/>
          <w:szCs w:val="24"/>
        </w:rPr>
        <w:t>附件五、报价一览表</w:t>
      </w:r>
    </w:p>
    <w:p>
      <w:pPr>
        <w:snapToGrid w:val="0"/>
        <w:spacing w:before="50" w:after="50"/>
        <w:jc w:val="center"/>
        <w:rPr>
          <w:rFonts w:ascii="宋体" w:hAnsi="宋体"/>
          <w:b/>
          <w:sz w:val="24"/>
          <w:szCs w:val="24"/>
        </w:rPr>
      </w:pPr>
      <w:r>
        <w:rPr>
          <w:rFonts w:hint="eastAsia" w:ascii="宋体" w:hAnsi="宋体"/>
          <w:b/>
          <w:sz w:val="24"/>
          <w:szCs w:val="24"/>
        </w:rPr>
        <w:t>报价一览表</w:t>
      </w:r>
    </w:p>
    <w:p>
      <w:pPr>
        <w:snapToGrid w:val="0"/>
        <w:spacing w:before="50" w:after="50"/>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rPr>
        <w:t>投标人名称：</w:t>
      </w:r>
      <w:r>
        <w:rPr>
          <w:rFonts w:ascii="宋体" w:hAnsi="宋体"/>
          <w:sz w:val="24"/>
          <w:szCs w:val="24"/>
          <w:u w:val="single"/>
        </w:rPr>
        <w:t xml:space="preserve">                    </w:t>
      </w:r>
      <w:r>
        <w:rPr>
          <w:rFonts w:hint="eastAsia" w:ascii="宋体" w:hAnsi="宋体"/>
          <w:sz w:val="24"/>
          <w:szCs w:val="24"/>
        </w:rPr>
        <w:t>单位：元</w:t>
      </w:r>
      <w:r>
        <w:rPr>
          <w:rFonts w:ascii="宋体" w:hAnsi="宋体"/>
          <w:sz w:val="24"/>
          <w:szCs w:val="24"/>
        </w:rPr>
        <w:t xml:space="preserve">                        </w:t>
      </w:r>
    </w:p>
    <w:tbl>
      <w:tblPr>
        <w:tblStyle w:val="15"/>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标项</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项目名称</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ascii="宋体" w:hAnsi="宋体"/>
                <w:sz w:val="24"/>
                <w:szCs w:val="24"/>
              </w:rPr>
              <w:t>1</w:t>
            </w:r>
          </w:p>
        </w:tc>
        <w:tc>
          <w:tcPr>
            <w:tcW w:w="286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ascii="宋体" w:hAnsi="宋体"/>
                <w:sz w:val="24"/>
                <w:szCs w:val="24"/>
              </w:rPr>
              <w:t>消防系统维护保养</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年</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rPr>
                <w:rFonts w:ascii="宋体" w:hAnsi="宋体"/>
                <w:sz w:val="24"/>
                <w:szCs w:val="24"/>
              </w:rPr>
            </w:pPr>
            <w:r>
              <w:rPr>
                <w:rFonts w:hint="eastAsia" w:ascii="宋体" w:hAnsi="宋体"/>
                <w:sz w:val="24"/>
                <w:szCs w:val="24"/>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hint="eastAsia" w:ascii="宋体" w:hAnsi="宋体"/>
                <w:sz w:val="24"/>
                <w:szCs w:val="24"/>
              </w:rPr>
              <w:t>合计金额大写：                                     ￥</w:t>
            </w:r>
            <w:r>
              <w:rPr>
                <w:rFonts w:ascii="宋体" w:hAnsi="宋体"/>
                <w:sz w:val="24"/>
                <w:szCs w:val="24"/>
                <w:u w:val="single"/>
              </w:rPr>
              <w:t xml:space="preserve">            </w:t>
            </w:r>
          </w:p>
          <w:p>
            <w:pPr>
              <w:snapToGrid w:val="0"/>
              <w:spacing w:before="50" w:after="50"/>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tc>
      </w:tr>
    </w:tbl>
    <w:p>
      <w:pPr>
        <w:snapToGrid w:val="0"/>
        <w:spacing w:before="50" w:after="50" w:line="420" w:lineRule="exact"/>
        <w:jc w:val="left"/>
        <w:rPr>
          <w:rFonts w:ascii="宋体" w:hAnsi="宋体"/>
          <w:sz w:val="24"/>
          <w:szCs w:val="24"/>
        </w:rPr>
      </w:pPr>
      <w:r>
        <w:rPr>
          <w:rFonts w:hint="eastAsia" w:ascii="宋体" w:hAnsi="宋体"/>
          <w:sz w:val="24"/>
          <w:szCs w:val="24"/>
        </w:rPr>
        <w:t>注</w:t>
      </w:r>
      <w:r>
        <w:rPr>
          <w:rFonts w:ascii="宋体" w:hAnsi="宋体"/>
          <w:sz w:val="24"/>
          <w:szCs w:val="24"/>
        </w:rPr>
        <w:t>: 1</w:t>
      </w:r>
      <w:r>
        <w:rPr>
          <w:rFonts w:hint="eastAsia" w:ascii="宋体" w:hAnsi="宋体"/>
          <w:sz w:val="24"/>
          <w:szCs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、凡需用专用耗材的专用设备类采购项目，应按招标文件规定的耗材量或按耗材的常规试用量提供报价。</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、投标费用包括项目实施所需的设计费、人工费、包装费、服务费、运输费、安装调试费、购买及制作标书费、税费及其他一切费用。</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、以上报价应与“投标设备报价明细表”中的“投标总价”相一致。</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r>
        <w:rPr>
          <w:rFonts w:ascii="宋体" w:hAnsi="宋体"/>
          <w:sz w:val="24"/>
          <w:szCs w:val="24"/>
        </w:rPr>
        <w:t xml:space="preserve">                    </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投标人名称（盖章）：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pStyle w:val="6"/>
        <w:snapToGrid w:val="0"/>
        <w:spacing w:before="295" w:after="295"/>
        <w:rPr>
          <w:rFonts w:hAnsi="宋体"/>
          <w:b/>
        </w:rPr>
      </w:pPr>
    </w:p>
    <w:p>
      <w:pPr>
        <w:spacing w:line="360" w:lineRule="auto"/>
        <w:rPr>
          <w:rFonts w:ascii="宋体" w:hAnsi="宋体"/>
          <w:sz w:val="24"/>
        </w:rPr>
      </w:pPr>
    </w:p>
    <w:sectPr>
      <w:headerReference r:id="rId3" w:type="default"/>
      <w:footerReference r:id="rId4" w:type="default"/>
      <w:type w:val="continuous"/>
      <w:pgSz w:w="11906" w:h="16838"/>
      <w:pgMar w:top="1134" w:right="1247" w:bottom="1134" w:left="1247" w:header="850"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8218518"/>
      <w:docPartObj>
        <w:docPartGallery w:val="autotext"/>
      </w:docPartObj>
    </w:sdtPr>
    <w:sdtContent>
      <w:sdt>
        <w:sdtPr>
          <w:id w:val="1728636285"/>
          <w:docPartObj>
            <w:docPartGallery w:val="autotext"/>
          </w:docPartObj>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ind w:right="142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28"/>
    <w:rsid w:val="00000FDD"/>
    <w:rsid w:val="0000408C"/>
    <w:rsid w:val="0001099C"/>
    <w:rsid w:val="0001345D"/>
    <w:rsid w:val="00013B60"/>
    <w:rsid w:val="000222D3"/>
    <w:rsid w:val="000235EF"/>
    <w:rsid w:val="00026F26"/>
    <w:rsid w:val="00031A31"/>
    <w:rsid w:val="00033FBA"/>
    <w:rsid w:val="00034DB8"/>
    <w:rsid w:val="00035E8E"/>
    <w:rsid w:val="000432ED"/>
    <w:rsid w:val="00044D2E"/>
    <w:rsid w:val="00047C73"/>
    <w:rsid w:val="0005057F"/>
    <w:rsid w:val="000554BD"/>
    <w:rsid w:val="00055A5A"/>
    <w:rsid w:val="00055AE2"/>
    <w:rsid w:val="000575BE"/>
    <w:rsid w:val="00060069"/>
    <w:rsid w:val="00060B14"/>
    <w:rsid w:val="00062226"/>
    <w:rsid w:val="00065D7B"/>
    <w:rsid w:val="0006631C"/>
    <w:rsid w:val="00073453"/>
    <w:rsid w:val="00074508"/>
    <w:rsid w:val="000747B8"/>
    <w:rsid w:val="000753F6"/>
    <w:rsid w:val="0007758F"/>
    <w:rsid w:val="0008259D"/>
    <w:rsid w:val="00083D64"/>
    <w:rsid w:val="00084610"/>
    <w:rsid w:val="00086CAA"/>
    <w:rsid w:val="000874D1"/>
    <w:rsid w:val="00090006"/>
    <w:rsid w:val="00091549"/>
    <w:rsid w:val="00094DEE"/>
    <w:rsid w:val="00096771"/>
    <w:rsid w:val="000A3965"/>
    <w:rsid w:val="000A62C2"/>
    <w:rsid w:val="000B0F2D"/>
    <w:rsid w:val="000B1B46"/>
    <w:rsid w:val="000B2173"/>
    <w:rsid w:val="000B55A0"/>
    <w:rsid w:val="000B6FF1"/>
    <w:rsid w:val="000C072A"/>
    <w:rsid w:val="000C328E"/>
    <w:rsid w:val="000C61AC"/>
    <w:rsid w:val="000D1BCC"/>
    <w:rsid w:val="000D35AF"/>
    <w:rsid w:val="000D4989"/>
    <w:rsid w:val="000D6013"/>
    <w:rsid w:val="000D6E5D"/>
    <w:rsid w:val="000D71C1"/>
    <w:rsid w:val="000E349E"/>
    <w:rsid w:val="000E35D7"/>
    <w:rsid w:val="000E36C5"/>
    <w:rsid w:val="000E378F"/>
    <w:rsid w:val="000E5EA2"/>
    <w:rsid w:val="000E6EFC"/>
    <w:rsid w:val="000E6F4C"/>
    <w:rsid w:val="000F61AB"/>
    <w:rsid w:val="00100F1D"/>
    <w:rsid w:val="001050F9"/>
    <w:rsid w:val="00105FD5"/>
    <w:rsid w:val="00110D6E"/>
    <w:rsid w:val="001114F0"/>
    <w:rsid w:val="00113352"/>
    <w:rsid w:val="001155BB"/>
    <w:rsid w:val="00115999"/>
    <w:rsid w:val="00123DF6"/>
    <w:rsid w:val="001300B2"/>
    <w:rsid w:val="00132894"/>
    <w:rsid w:val="001335EB"/>
    <w:rsid w:val="00134F43"/>
    <w:rsid w:val="001358C6"/>
    <w:rsid w:val="001363A5"/>
    <w:rsid w:val="0013797F"/>
    <w:rsid w:val="001427E4"/>
    <w:rsid w:val="00143659"/>
    <w:rsid w:val="00145F4C"/>
    <w:rsid w:val="001466F3"/>
    <w:rsid w:val="00147AAE"/>
    <w:rsid w:val="00147E50"/>
    <w:rsid w:val="001515EC"/>
    <w:rsid w:val="00152C64"/>
    <w:rsid w:val="00155C75"/>
    <w:rsid w:val="00156066"/>
    <w:rsid w:val="0015651D"/>
    <w:rsid w:val="00157C48"/>
    <w:rsid w:val="0016269C"/>
    <w:rsid w:val="001627FD"/>
    <w:rsid w:val="00163FB1"/>
    <w:rsid w:val="001666E7"/>
    <w:rsid w:val="00166916"/>
    <w:rsid w:val="0016758D"/>
    <w:rsid w:val="00170BFA"/>
    <w:rsid w:val="001733B2"/>
    <w:rsid w:val="00176C0F"/>
    <w:rsid w:val="00185186"/>
    <w:rsid w:val="0018617C"/>
    <w:rsid w:val="00190BB5"/>
    <w:rsid w:val="00191923"/>
    <w:rsid w:val="00192353"/>
    <w:rsid w:val="00192396"/>
    <w:rsid w:val="00192A91"/>
    <w:rsid w:val="0019795E"/>
    <w:rsid w:val="001A1019"/>
    <w:rsid w:val="001A15A9"/>
    <w:rsid w:val="001A537E"/>
    <w:rsid w:val="001A7C12"/>
    <w:rsid w:val="001B431F"/>
    <w:rsid w:val="001C2847"/>
    <w:rsid w:val="001C2D1F"/>
    <w:rsid w:val="001C36D7"/>
    <w:rsid w:val="001C4AF2"/>
    <w:rsid w:val="001D4394"/>
    <w:rsid w:val="001D444B"/>
    <w:rsid w:val="001E12C5"/>
    <w:rsid w:val="001E73B5"/>
    <w:rsid w:val="001E79B1"/>
    <w:rsid w:val="001F23A9"/>
    <w:rsid w:val="001F3150"/>
    <w:rsid w:val="001F3405"/>
    <w:rsid w:val="001F3ED1"/>
    <w:rsid w:val="001F4220"/>
    <w:rsid w:val="00200C45"/>
    <w:rsid w:val="00201814"/>
    <w:rsid w:val="00201ABA"/>
    <w:rsid w:val="002044E0"/>
    <w:rsid w:val="0020489C"/>
    <w:rsid w:val="002052AA"/>
    <w:rsid w:val="002067D1"/>
    <w:rsid w:val="00207192"/>
    <w:rsid w:val="00210F39"/>
    <w:rsid w:val="002115F0"/>
    <w:rsid w:val="00213238"/>
    <w:rsid w:val="002146EC"/>
    <w:rsid w:val="0021496F"/>
    <w:rsid w:val="00216784"/>
    <w:rsid w:val="002207F6"/>
    <w:rsid w:val="00222010"/>
    <w:rsid w:val="0022475D"/>
    <w:rsid w:val="0023068F"/>
    <w:rsid w:val="00230B0C"/>
    <w:rsid w:val="00240EF9"/>
    <w:rsid w:val="00245765"/>
    <w:rsid w:val="00251CF5"/>
    <w:rsid w:val="002524A5"/>
    <w:rsid w:val="00252A0B"/>
    <w:rsid w:val="002537B6"/>
    <w:rsid w:val="002558C7"/>
    <w:rsid w:val="00257400"/>
    <w:rsid w:val="00273967"/>
    <w:rsid w:val="00275CCF"/>
    <w:rsid w:val="002766EE"/>
    <w:rsid w:val="00276C18"/>
    <w:rsid w:val="00276D54"/>
    <w:rsid w:val="00277FFC"/>
    <w:rsid w:val="002848A8"/>
    <w:rsid w:val="00284B87"/>
    <w:rsid w:val="00285220"/>
    <w:rsid w:val="00287C7F"/>
    <w:rsid w:val="002924F6"/>
    <w:rsid w:val="00294FBF"/>
    <w:rsid w:val="002964EF"/>
    <w:rsid w:val="002A187D"/>
    <w:rsid w:val="002A1BD1"/>
    <w:rsid w:val="002A3D24"/>
    <w:rsid w:val="002B148A"/>
    <w:rsid w:val="002B1703"/>
    <w:rsid w:val="002B346E"/>
    <w:rsid w:val="002B3775"/>
    <w:rsid w:val="002C1C3A"/>
    <w:rsid w:val="002C1C47"/>
    <w:rsid w:val="002C685F"/>
    <w:rsid w:val="002D1BD3"/>
    <w:rsid w:val="002D410B"/>
    <w:rsid w:val="002D7D0F"/>
    <w:rsid w:val="002E09A9"/>
    <w:rsid w:val="002E1D91"/>
    <w:rsid w:val="002E20E2"/>
    <w:rsid w:val="002E3D60"/>
    <w:rsid w:val="002E3EE7"/>
    <w:rsid w:val="002E40D2"/>
    <w:rsid w:val="002F0C11"/>
    <w:rsid w:val="002F1230"/>
    <w:rsid w:val="002F24AB"/>
    <w:rsid w:val="002F6841"/>
    <w:rsid w:val="002F6B3B"/>
    <w:rsid w:val="00304404"/>
    <w:rsid w:val="00304437"/>
    <w:rsid w:val="00307383"/>
    <w:rsid w:val="00310D45"/>
    <w:rsid w:val="00311D90"/>
    <w:rsid w:val="003125DF"/>
    <w:rsid w:val="00313385"/>
    <w:rsid w:val="003148FF"/>
    <w:rsid w:val="00314EA3"/>
    <w:rsid w:val="00316D6B"/>
    <w:rsid w:val="00320504"/>
    <w:rsid w:val="0032742D"/>
    <w:rsid w:val="0032780F"/>
    <w:rsid w:val="00330147"/>
    <w:rsid w:val="00330342"/>
    <w:rsid w:val="00331A41"/>
    <w:rsid w:val="00332609"/>
    <w:rsid w:val="00333F65"/>
    <w:rsid w:val="003340C2"/>
    <w:rsid w:val="00334E07"/>
    <w:rsid w:val="003359CD"/>
    <w:rsid w:val="00335DCA"/>
    <w:rsid w:val="00350C4E"/>
    <w:rsid w:val="0035177E"/>
    <w:rsid w:val="00351BC9"/>
    <w:rsid w:val="00354843"/>
    <w:rsid w:val="00356118"/>
    <w:rsid w:val="0035692B"/>
    <w:rsid w:val="003574F8"/>
    <w:rsid w:val="00357B37"/>
    <w:rsid w:val="00357F5D"/>
    <w:rsid w:val="003627C2"/>
    <w:rsid w:val="003635EC"/>
    <w:rsid w:val="00377EFB"/>
    <w:rsid w:val="00380A39"/>
    <w:rsid w:val="00384E7A"/>
    <w:rsid w:val="00385A71"/>
    <w:rsid w:val="0039133C"/>
    <w:rsid w:val="003A1521"/>
    <w:rsid w:val="003A619A"/>
    <w:rsid w:val="003A6892"/>
    <w:rsid w:val="003A6A22"/>
    <w:rsid w:val="003B50A9"/>
    <w:rsid w:val="003B55CF"/>
    <w:rsid w:val="003B7783"/>
    <w:rsid w:val="003B7BC0"/>
    <w:rsid w:val="003E0286"/>
    <w:rsid w:val="003E0FD0"/>
    <w:rsid w:val="003E1C1C"/>
    <w:rsid w:val="003E2448"/>
    <w:rsid w:val="003E384F"/>
    <w:rsid w:val="003E4F22"/>
    <w:rsid w:val="003F22BA"/>
    <w:rsid w:val="003F7158"/>
    <w:rsid w:val="00400758"/>
    <w:rsid w:val="004063FB"/>
    <w:rsid w:val="004075CB"/>
    <w:rsid w:val="004079EE"/>
    <w:rsid w:val="00410784"/>
    <w:rsid w:val="0041214E"/>
    <w:rsid w:val="0041315B"/>
    <w:rsid w:val="00415002"/>
    <w:rsid w:val="00415110"/>
    <w:rsid w:val="0041550C"/>
    <w:rsid w:val="00417676"/>
    <w:rsid w:val="0043027E"/>
    <w:rsid w:val="004334C4"/>
    <w:rsid w:val="00433586"/>
    <w:rsid w:val="00433D27"/>
    <w:rsid w:val="00435007"/>
    <w:rsid w:val="00436559"/>
    <w:rsid w:val="00441645"/>
    <w:rsid w:val="00447370"/>
    <w:rsid w:val="0044784C"/>
    <w:rsid w:val="00451E75"/>
    <w:rsid w:val="00453042"/>
    <w:rsid w:val="004541A9"/>
    <w:rsid w:val="00454A97"/>
    <w:rsid w:val="00456492"/>
    <w:rsid w:val="00462FFD"/>
    <w:rsid w:val="0046340E"/>
    <w:rsid w:val="004645AE"/>
    <w:rsid w:val="004677DE"/>
    <w:rsid w:val="00483C7A"/>
    <w:rsid w:val="00486CA3"/>
    <w:rsid w:val="00490F3C"/>
    <w:rsid w:val="00491A6D"/>
    <w:rsid w:val="0049677F"/>
    <w:rsid w:val="004A3424"/>
    <w:rsid w:val="004A36F6"/>
    <w:rsid w:val="004A3888"/>
    <w:rsid w:val="004A7539"/>
    <w:rsid w:val="004B001B"/>
    <w:rsid w:val="004B0F09"/>
    <w:rsid w:val="004B181D"/>
    <w:rsid w:val="004B1AD1"/>
    <w:rsid w:val="004B2500"/>
    <w:rsid w:val="004B2F32"/>
    <w:rsid w:val="004B56F1"/>
    <w:rsid w:val="004C1FA1"/>
    <w:rsid w:val="004C335E"/>
    <w:rsid w:val="004C5738"/>
    <w:rsid w:val="004C6AD2"/>
    <w:rsid w:val="004C7DA9"/>
    <w:rsid w:val="004D0B4F"/>
    <w:rsid w:val="004D3015"/>
    <w:rsid w:val="004D3F16"/>
    <w:rsid w:val="004D4FAA"/>
    <w:rsid w:val="004D7E75"/>
    <w:rsid w:val="004E3FAE"/>
    <w:rsid w:val="004E6759"/>
    <w:rsid w:val="004E7BD5"/>
    <w:rsid w:val="004E7CFB"/>
    <w:rsid w:val="004F008F"/>
    <w:rsid w:val="004F1F83"/>
    <w:rsid w:val="004F3852"/>
    <w:rsid w:val="004F582D"/>
    <w:rsid w:val="004F6881"/>
    <w:rsid w:val="00500C09"/>
    <w:rsid w:val="00501295"/>
    <w:rsid w:val="00504228"/>
    <w:rsid w:val="005043E2"/>
    <w:rsid w:val="00504B95"/>
    <w:rsid w:val="00510001"/>
    <w:rsid w:val="00510AAF"/>
    <w:rsid w:val="00513228"/>
    <w:rsid w:val="00515131"/>
    <w:rsid w:val="00522A83"/>
    <w:rsid w:val="00525000"/>
    <w:rsid w:val="005254B2"/>
    <w:rsid w:val="00527FA4"/>
    <w:rsid w:val="00532953"/>
    <w:rsid w:val="005337ED"/>
    <w:rsid w:val="00537C17"/>
    <w:rsid w:val="00546F1A"/>
    <w:rsid w:val="005507F0"/>
    <w:rsid w:val="00553F90"/>
    <w:rsid w:val="00554C7C"/>
    <w:rsid w:val="005612C2"/>
    <w:rsid w:val="00562D93"/>
    <w:rsid w:val="00563963"/>
    <w:rsid w:val="005661D4"/>
    <w:rsid w:val="00566ABB"/>
    <w:rsid w:val="005670E9"/>
    <w:rsid w:val="00571B0D"/>
    <w:rsid w:val="005720F7"/>
    <w:rsid w:val="0057370A"/>
    <w:rsid w:val="0057558A"/>
    <w:rsid w:val="00585FFB"/>
    <w:rsid w:val="00591E6D"/>
    <w:rsid w:val="00595052"/>
    <w:rsid w:val="00596C06"/>
    <w:rsid w:val="005A2C2B"/>
    <w:rsid w:val="005A47ED"/>
    <w:rsid w:val="005B0AD8"/>
    <w:rsid w:val="005B390E"/>
    <w:rsid w:val="005B4396"/>
    <w:rsid w:val="005B632D"/>
    <w:rsid w:val="005C0090"/>
    <w:rsid w:val="005C07C7"/>
    <w:rsid w:val="005C39DA"/>
    <w:rsid w:val="005C534F"/>
    <w:rsid w:val="005C5C77"/>
    <w:rsid w:val="005C6DDA"/>
    <w:rsid w:val="005D0EE5"/>
    <w:rsid w:val="005D27AF"/>
    <w:rsid w:val="005D32C6"/>
    <w:rsid w:val="005D6CB7"/>
    <w:rsid w:val="005E0EE6"/>
    <w:rsid w:val="005E2D68"/>
    <w:rsid w:val="005E7396"/>
    <w:rsid w:val="005F2E8A"/>
    <w:rsid w:val="005F714F"/>
    <w:rsid w:val="005F74CB"/>
    <w:rsid w:val="006035F5"/>
    <w:rsid w:val="00604C71"/>
    <w:rsid w:val="00612DEE"/>
    <w:rsid w:val="00617354"/>
    <w:rsid w:val="00622125"/>
    <w:rsid w:val="00624409"/>
    <w:rsid w:val="0062634E"/>
    <w:rsid w:val="00631C2F"/>
    <w:rsid w:val="0063356B"/>
    <w:rsid w:val="00645F24"/>
    <w:rsid w:val="00652305"/>
    <w:rsid w:val="006527D0"/>
    <w:rsid w:val="0066063B"/>
    <w:rsid w:val="00665B3D"/>
    <w:rsid w:val="0066755F"/>
    <w:rsid w:val="0067762C"/>
    <w:rsid w:val="00681EEE"/>
    <w:rsid w:val="00683F9D"/>
    <w:rsid w:val="006848DC"/>
    <w:rsid w:val="006879E3"/>
    <w:rsid w:val="0069060B"/>
    <w:rsid w:val="00693818"/>
    <w:rsid w:val="00694C23"/>
    <w:rsid w:val="0069602E"/>
    <w:rsid w:val="006A16F4"/>
    <w:rsid w:val="006A57B3"/>
    <w:rsid w:val="006A6433"/>
    <w:rsid w:val="006B0940"/>
    <w:rsid w:val="006B171F"/>
    <w:rsid w:val="006B5475"/>
    <w:rsid w:val="006B5F12"/>
    <w:rsid w:val="006B611D"/>
    <w:rsid w:val="006C281D"/>
    <w:rsid w:val="006C2FB7"/>
    <w:rsid w:val="006C3F54"/>
    <w:rsid w:val="006C57B1"/>
    <w:rsid w:val="006D2968"/>
    <w:rsid w:val="006D484F"/>
    <w:rsid w:val="006E0C1B"/>
    <w:rsid w:val="006E2BE7"/>
    <w:rsid w:val="006F2488"/>
    <w:rsid w:val="006F5627"/>
    <w:rsid w:val="007047C6"/>
    <w:rsid w:val="0070669A"/>
    <w:rsid w:val="0071123D"/>
    <w:rsid w:val="00711502"/>
    <w:rsid w:val="00711667"/>
    <w:rsid w:val="0071354E"/>
    <w:rsid w:val="00715E15"/>
    <w:rsid w:val="007176B9"/>
    <w:rsid w:val="0072162A"/>
    <w:rsid w:val="00722582"/>
    <w:rsid w:val="007254DE"/>
    <w:rsid w:val="00725732"/>
    <w:rsid w:val="00726D15"/>
    <w:rsid w:val="00727BF4"/>
    <w:rsid w:val="00734426"/>
    <w:rsid w:val="007344A9"/>
    <w:rsid w:val="00736BBF"/>
    <w:rsid w:val="00737925"/>
    <w:rsid w:val="0074150D"/>
    <w:rsid w:val="00742B7C"/>
    <w:rsid w:val="0074510A"/>
    <w:rsid w:val="0074551D"/>
    <w:rsid w:val="00756B16"/>
    <w:rsid w:val="00762838"/>
    <w:rsid w:val="00764C2C"/>
    <w:rsid w:val="00766C43"/>
    <w:rsid w:val="00767C4F"/>
    <w:rsid w:val="00770459"/>
    <w:rsid w:val="007719D3"/>
    <w:rsid w:val="007739F9"/>
    <w:rsid w:val="00776027"/>
    <w:rsid w:val="00777BB5"/>
    <w:rsid w:val="00780B7B"/>
    <w:rsid w:val="00782A19"/>
    <w:rsid w:val="00782B14"/>
    <w:rsid w:val="007845FF"/>
    <w:rsid w:val="00785208"/>
    <w:rsid w:val="00785222"/>
    <w:rsid w:val="007879DC"/>
    <w:rsid w:val="00791CA1"/>
    <w:rsid w:val="0079658B"/>
    <w:rsid w:val="00796FBA"/>
    <w:rsid w:val="007A0518"/>
    <w:rsid w:val="007A2DF5"/>
    <w:rsid w:val="007A49C3"/>
    <w:rsid w:val="007A4D37"/>
    <w:rsid w:val="007A5D68"/>
    <w:rsid w:val="007A6A4B"/>
    <w:rsid w:val="007B23A5"/>
    <w:rsid w:val="007B39A3"/>
    <w:rsid w:val="007B5DA6"/>
    <w:rsid w:val="007C09E8"/>
    <w:rsid w:val="007C4076"/>
    <w:rsid w:val="007C5748"/>
    <w:rsid w:val="007D1378"/>
    <w:rsid w:val="007D2540"/>
    <w:rsid w:val="007D5BAD"/>
    <w:rsid w:val="007D6D61"/>
    <w:rsid w:val="007D74FB"/>
    <w:rsid w:val="007E058F"/>
    <w:rsid w:val="007E206E"/>
    <w:rsid w:val="007E3813"/>
    <w:rsid w:val="007E76D3"/>
    <w:rsid w:val="0080231E"/>
    <w:rsid w:val="008042E0"/>
    <w:rsid w:val="0080539B"/>
    <w:rsid w:val="00806906"/>
    <w:rsid w:val="0081087F"/>
    <w:rsid w:val="00812A99"/>
    <w:rsid w:val="008148A7"/>
    <w:rsid w:val="00816DD4"/>
    <w:rsid w:val="00820688"/>
    <w:rsid w:val="00821741"/>
    <w:rsid w:val="00833FDD"/>
    <w:rsid w:val="008364F5"/>
    <w:rsid w:val="00836880"/>
    <w:rsid w:val="0083746C"/>
    <w:rsid w:val="008421C3"/>
    <w:rsid w:val="008454EC"/>
    <w:rsid w:val="00846030"/>
    <w:rsid w:val="00850CA6"/>
    <w:rsid w:val="008510C5"/>
    <w:rsid w:val="00856323"/>
    <w:rsid w:val="00864853"/>
    <w:rsid w:val="00864E68"/>
    <w:rsid w:val="00865AFE"/>
    <w:rsid w:val="008669F5"/>
    <w:rsid w:val="00866D84"/>
    <w:rsid w:val="00867BE2"/>
    <w:rsid w:val="008712F5"/>
    <w:rsid w:val="008713BD"/>
    <w:rsid w:val="0087359E"/>
    <w:rsid w:val="008738D3"/>
    <w:rsid w:val="00875421"/>
    <w:rsid w:val="00877B28"/>
    <w:rsid w:val="008849BE"/>
    <w:rsid w:val="00886957"/>
    <w:rsid w:val="00887737"/>
    <w:rsid w:val="008908C3"/>
    <w:rsid w:val="008937C5"/>
    <w:rsid w:val="008958F2"/>
    <w:rsid w:val="00896EBB"/>
    <w:rsid w:val="008975AD"/>
    <w:rsid w:val="008A240E"/>
    <w:rsid w:val="008A59A5"/>
    <w:rsid w:val="008B2CF4"/>
    <w:rsid w:val="008B479E"/>
    <w:rsid w:val="008B685A"/>
    <w:rsid w:val="008C1210"/>
    <w:rsid w:val="008C19E1"/>
    <w:rsid w:val="008C6E2B"/>
    <w:rsid w:val="008D3C36"/>
    <w:rsid w:val="008D51F8"/>
    <w:rsid w:val="008D5C0F"/>
    <w:rsid w:val="008E07C9"/>
    <w:rsid w:val="008E0F79"/>
    <w:rsid w:val="008E2525"/>
    <w:rsid w:val="008E7321"/>
    <w:rsid w:val="008F22B0"/>
    <w:rsid w:val="008F53FE"/>
    <w:rsid w:val="008F7858"/>
    <w:rsid w:val="008F7D9F"/>
    <w:rsid w:val="009013FB"/>
    <w:rsid w:val="00902499"/>
    <w:rsid w:val="00902FBE"/>
    <w:rsid w:val="00904A30"/>
    <w:rsid w:val="00906B34"/>
    <w:rsid w:val="009147F8"/>
    <w:rsid w:val="00917BF0"/>
    <w:rsid w:val="00923DB8"/>
    <w:rsid w:val="009263FB"/>
    <w:rsid w:val="00933181"/>
    <w:rsid w:val="009372D2"/>
    <w:rsid w:val="00940727"/>
    <w:rsid w:val="00942565"/>
    <w:rsid w:val="009444E8"/>
    <w:rsid w:val="009445FB"/>
    <w:rsid w:val="00944CD3"/>
    <w:rsid w:val="00947DF2"/>
    <w:rsid w:val="00951913"/>
    <w:rsid w:val="00952AFA"/>
    <w:rsid w:val="00953C31"/>
    <w:rsid w:val="0095439A"/>
    <w:rsid w:val="00955065"/>
    <w:rsid w:val="009610BB"/>
    <w:rsid w:val="00962F27"/>
    <w:rsid w:val="00972473"/>
    <w:rsid w:val="009724F3"/>
    <w:rsid w:val="00972BE2"/>
    <w:rsid w:val="009755A9"/>
    <w:rsid w:val="009816BC"/>
    <w:rsid w:val="0098170B"/>
    <w:rsid w:val="00983CD1"/>
    <w:rsid w:val="009A3932"/>
    <w:rsid w:val="009A45FB"/>
    <w:rsid w:val="009A4A78"/>
    <w:rsid w:val="009B2570"/>
    <w:rsid w:val="009B3FF2"/>
    <w:rsid w:val="009B417B"/>
    <w:rsid w:val="009C066C"/>
    <w:rsid w:val="009C1AA8"/>
    <w:rsid w:val="009D060E"/>
    <w:rsid w:val="009D1C9D"/>
    <w:rsid w:val="009D20AE"/>
    <w:rsid w:val="009D53FD"/>
    <w:rsid w:val="009E32BD"/>
    <w:rsid w:val="009E6657"/>
    <w:rsid w:val="009F362B"/>
    <w:rsid w:val="009F38D0"/>
    <w:rsid w:val="009F550D"/>
    <w:rsid w:val="009F6645"/>
    <w:rsid w:val="00A020E0"/>
    <w:rsid w:val="00A03903"/>
    <w:rsid w:val="00A10F67"/>
    <w:rsid w:val="00A16741"/>
    <w:rsid w:val="00A176A1"/>
    <w:rsid w:val="00A17B23"/>
    <w:rsid w:val="00A17D84"/>
    <w:rsid w:val="00A20161"/>
    <w:rsid w:val="00A310AD"/>
    <w:rsid w:val="00A32892"/>
    <w:rsid w:val="00A35D2E"/>
    <w:rsid w:val="00A41AA0"/>
    <w:rsid w:val="00A439B7"/>
    <w:rsid w:val="00A44783"/>
    <w:rsid w:val="00A44B27"/>
    <w:rsid w:val="00A52BA9"/>
    <w:rsid w:val="00A55F4E"/>
    <w:rsid w:val="00A575B9"/>
    <w:rsid w:val="00A6494F"/>
    <w:rsid w:val="00A64E41"/>
    <w:rsid w:val="00A66895"/>
    <w:rsid w:val="00A67B4E"/>
    <w:rsid w:val="00A75232"/>
    <w:rsid w:val="00A7760A"/>
    <w:rsid w:val="00A7776E"/>
    <w:rsid w:val="00A82E39"/>
    <w:rsid w:val="00A863E3"/>
    <w:rsid w:val="00A866DA"/>
    <w:rsid w:val="00A87769"/>
    <w:rsid w:val="00A87D8A"/>
    <w:rsid w:val="00A90952"/>
    <w:rsid w:val="00A93D32"/>
    <w:rsid w:val="00AA289B"/>
    <w:rsid w:val="00AA34B8"/>
    <w:rsid w:val="00AA37CA"/>
    <w:rsid w:val="00AA4A98"/>
    <w:rsid w:val="00AA4C1D"/>
    <w:rsid w:val="00AB527C"/>
    <w:rsid w:val="00AB5D50"/>
    <w:rsid w:val="00AB709F"/>
    <w:rsid w:val="00AC038C"/>
    <w:rsid w:val="00AC0461"/>
    <w:rsid w:val="00AD0103"/>
    <w:rsid w:val="00AD0313"/>
    <w:rsid w:val="00AD1055"/>
    <w:rsid w:val="00AD3ABF"/>
    <w:rsid w:val="00AD5A6A"/>
    <w:rsid w:val="00AD66C4"/>
    <w:rsid w:val="00AE1141"/>
    <w:rsid w:val="00AE17E2"/>
    <w:rsid w:val="00AE1A4F"/>
    <w:rsid w:val="00AE1D10"/>
    <w:rsid w:val="00AE63DD"/>
    <w:rsid w:val="00AF1C7A"/>
    <w:rsid w:val="00AF5213"/>
    <w:rsid w:val="00AF5706"/>
    <w:rsid w:val="00AF6F0E"/>
    <w:rsid w:val="00B02C50"/>
    <w:rsid w:val="00B02D22"/>
    <w:rsid w:val="00B032E4"/>
    <w:rsid w:val="00B0476E"/>
    <w:rsid w:val="00B062CA"/>
    <w:rsid w:val="00B1253B"/>
    <w:rsid w:val="00B14433"/>
    <w:rsid w:val="00B22042"/>
    <w:rsid w:val="00B224A9"/>
    <w:rsid w:val="00B239D3"/>
    <w:rsid w:val="00B2660E"/>
    <w:rsid w:val="00B26B06"/>
    <w:rsid w:val="00B2753B"/>
    <w:rsid w:val="00B3705B"/>
    <w:rsid w:val="00B40C37"/>
    <w:rsid w:val="00B41026"/>
    <w:rsid w:val="00B4301E"/>
    <w:rsid w:val="00B43659"/>
    <w:rsid w:val="00B45B95"/>
    <w:rsid w:val="00B47DFD"/>
    <w:rsid w:val="00B511F5"/>
    <w:rsid w:val="00B55AD6"/>
    <w:rsid w:val="00B567CA"/>
    <w:rsid w:val="00B62B9F"/>
    <w:rsid w:val="00B63F90"/>
    <w:rsid w:val="00B64137"/>
    <w:rsid w:val="00B7428C"/>
    <w:rsid w:val="00B75EF4"/>
    <w:rsid w:val="00B85E4A"/>
    <w:rsid w:val="00B87E48"/>
    <w:rsid w:val="00B91EF6"/>
    <w:rsid w:val="00B92406"/>
    <w:rsid w:val="00B92FD5"/>
    <w:rsid w:val="00B93185"/>
    <w:rsid w:val="00B9389E"/>
    <w:rsid w:val="00B93CAA"/>
    <w:rsid w:val="00B94B93"/>
    <w:rsid w:val="00B95134"/>
    <w:rsid w:val="00BA0BE0"/>
    <w:rsid w:val="00BA2DD1"/>
    <w:rsid w:val="00BA2E17"/>
    <w:rsid w:val="00BA3E26"/>
    <w:rsid w:val="00BB53AA"/>
    <w:rsid w:val="00BB61B8"/>
    <w:rsid w:val="00BB697F"/>
    <w:rsid w:val="00BC0943"/>
    <w:rsid w:val="00BC129B"/>
    <w:rsid w:val="00BC4586"/>
    <w:rsid w:val="00BC5660"/>
    <w:rsid w:val="00BD05B5"/>
    <w:rsid w:val="00BD3A19"/>
    <w:rsid w:val="00BD4EB4"/>
    <w:rsid w:val="00BD57B8"/>
    <w:rsid w:val="00BE1346"/>
    <w:rsid w:val="00BE1CE2"/>
    <w:rsid w:val="00BE432E"/>
    <w:rsid w:val="00BE4BA6"/>
    <w:rsid w:val="00BE5A51"/>
    <w:rsid w:val="00BE71D6"/>
    <w:rsid w:val="00BF29C4"/>
    <w:rsid w:val="00BF3E93"/>
    <w:rsid w:val="00BF5997"/>
    <w:rsid w:val="00C015A9"/>
    <w:rsid w:val="00C01E5D"/>
    <w:rsid w:val="00C0546F"/>
    <w:rsid w:val="00C07CD4"/>
    <w:rsid w:val="00C12A81"/>
    <w:rsid w:val="00C16C0E"/>
    <w:rsid w:val="00C16C2C"/>
    <w:rsid w:val="00C20FF1"/>
    <w:rsid w:val="00C2367C"/>
    <w:rsid w:val="00C33692"/>
    <w:rsid w:val="00C35EE4"/>
    <w:rsid w:val="00C40E45"/>
    <w:rsid w:val="00C41810"/>
    <w:rsid w:val="00C479D1"/>
    <w:rsid w:val="00C52406"/>
    <w:rsid w:val="00C53AAB"/>
    <w:rsid w:val="00C53C9F"/>
    <w:rsid w:val="00C55239"/>
    <w:rsid w:val="00C56B66"/>
    <w:rsid w:val="00C577D2"/>
    <w:rsid w:val="00C673B6"/>
    <w:rsid w:val="00C67DCA"/>
    <w:rsid w:val="00C71CD9"/>
    <w:rsid w:val="00C743D1"/>
    <w:rsid w:val="00C8219F"/>
    <w:rsid w:val="00C82644"/>
    <w:rsid w:val="00C82E74"/>
    <w:rsid w:val="00C84183"/>
    <w:rsid w:val="00C85188"/>
    <w:rsid w:val="00C87635"/>
    <w:rsid w:val="00C92761"/>
    <w:rsid w:val="00C92FE9"/>
    <w:rsid w:val="00C93AB8"/>
    <w:rsid w:val="00C94B57"/>
    <w:rsid w:val="00CA2044"/>
    <w:rsid w:val="00CA3899"/>
    <w:rsid w:val="00CA5C09"/>
    <w:rsid w:val="00CB04E3"/>
    <w:rsid w:val="00CB25C5"/>
    <w:rsid w:val="00CB2F0B"/>
    <w:rsid w:val="00CB626E"/>
    <w:rsid w:val="00CC09DC"/>
    <w:rsid w:val="00CC32D4"/>
    <w:rsid w:val="00CC733C"/>
    <w:rsid w:val="00CD0A48"/>
    <w:rsid w:val="00CD4012"/>
    <w:rsid w:val="00CD41E4"/>
    <w:rsid w:val="00CD72D5"/>
    <w:rsid w:val="00CE0D21"/>
    <w:rsid w:val="00CE12F4"/>
    <w:rsid w:val="00CE1D9F"/>
    <w:rsid w:val="00CE36B6"/>
    <w:rsid w:val="00CE59BF"/>
    <w:rsid w:val="00CE64A5"/>
    <w:rsid w:val="00CF14E0"/>
    <w:rsid w:val="00CF5FDE"/>
    <w:rsid w:val="00CF7FE2"/>
    <w:rsid w:val="00D01FA6"/>
    <w:rsid w:val="00D02AD4"/>
    <w:rsid w:val="00D04BEF"/>
    <w:rsid w:val="00D05E1D"/>
    <w:rsid w:val="00D06FD4"/>
    <w:rsid w:val="00D10C62"/>
    <w:rsid w:val="00D15DDE"/>
    <w:rsid w:val="00D16B58"/>
    <w:rsid w:val="00D20B25"/>
    <w:rsid w:val="00D20BF4"/>
    <w:rsid w:val="00D23036"/>
    <w:rsid w:val="00D26F89"/>
    <w:rsid w:val="00D30041"/>
    <w:rsid w:val="00D323EE"/>
    <w:rsid w:val="00D4106E"/>
    <w:rsid w:val="00D46072"/>
    <w:rsid w:val="00D51BE8"/>
    <w:rsid w:val="00D523CF"/>
    <w:rsid w:val="00D61620"/>
    <w:rsid w:val="00D62439"/>
    <w:rsid w:val="00D64BDA"/>
    <w:rsid w:val="00D65ABC"/>
    <w:rsid w:val="00D70255"/>
    <w:rsid w:val="00D708E8"/>
    <w:rsid w:val="00D70A94"/>
    <w:rsid w:val="00D71820"/>
    <w:rsid w:val="00D72184"/>
    <w:rsid w:val="00D724DA"/>
    <w:rsid w:val="00D73B07"/>
    <w:rsid w:val="00D74ACF"/>
    <w:rsid w:val="00D74E56"/>
    <w:rsid w:val="00D80DDE"/>
    <w:rsid w:val="00D827C0"/>
    <w:rsid w:val="00D841B2"/>
    <w:rsid w:val="00D86568"/>
    <w:rsid w:val="00D876ED"/>
    <w:rsid w:val="00D91946"/>
    <w:rsid w:val="00D927C3"/>
    <w:rsid w:val="00D9475F"/>
    <w:rsid w:val="00D973AA"/>
    <w:rsid w:val="00D978EF"/>
    <w:rsid w:val="00DA50F7"/>
    <w:rsid w:val="00DB05C2"/>
    <w:rsid w:val="00DB376F"/>
    <w:rsid w:val="00DC2314"/>
    <w:rsid w:val="00DC7481"/>
    <w:rsid w:val="00DC75E4"/>
    <w:rsid w:val="00DD2224"/>
    <w:rsid w:val="00DD5600"/>
    <w:rsid w:val="00DD582F"/>
    <w:rsid w:val="00DD6B68"/>
    <w:rsid w:val="00DE046B"/>
    <w:rsid w:val="00DE0C54"/>
    <w:rsid w:val="00DE1F4F"/>
    <w:rsid w:val="00DE342E"/>
    <w:rsid w:val="00DE4BFD"/>
    <w:rsid w:val="00DE4F2E"/>
    <w:rsid w:val="00DF0470"/>
    <w:rsid w:val="00DF4917"/>
    <w:rsid w:val="00DF6BFA"/>
    <w:rsid w:val="00E019A9"/>
    <w:rsid w:val="00E01EE7"/>
    <w:rsid w:val="00E032AA"/>
    <w:rsid w:val="00E04B7A"/>
    <w:rsid w:val="00E064CE"/>
    <w:rsid w:val="00E1681C"/>
    <w:rsid w:val="00E22903"/>
    <w:rsid w:val="00E23C4B"/>
    <w:rsid w:val="00E2400C"/>
    <w:rsid w:val="00E269E6"/>
    <w:rsid w:val="00E2744F"/>
    <w:rsid w:val="00E31D4F"/>
    <w:rsid w:val="00E31D83"/>
    <w:rsid w:val="00E32796"/>
    <w:rsid w:val="00E32C62"/>
    <w:rsid w:val="00E3428F"/>
    <w:rsid w:val="00E37DD5"/>
    <w:rsid w:val="00E4093F"/>
    <w:rsid w:val="00E41669"/>
    <w:rsid w:val="00E43D33"/>
    <w:rsid w:val="00E443DF"/>
    <w:rsid w:val="00E50C26"/>
    <w:rsid w:val="00E51AA6"/>
    <w:rsid w:val="00E54F9C"/>
    <w:rsid w:val="00E56D62"/>
    <w:rsid w:val="00E6134C"/>
    <w:rsid w:val="00E62268"/>
    <w:rsid w:val="00E63923"/>
    <w:rsid w:val="00E64DF9"/>
    <w:rsid w:val="00E67AF1"/>
    <w:rsid w:val="00E67E46"/>
    <w:rsid w:val="00E73981"/>
    <w:rsid w:val="00E74EC5"/>
    <w:rsid w:val="00E909C4"/>
    <w:rsid w:val="00E95165"/>
    <w:rsid w:val="00E95A6A"/>
    <w:rsid w:val="00E96594"/>
    <w:rsid w:val="00EA059C"/>
    <w:rsid w:val="00EA0DAB"/>
    <w:rsid w:val="00EA599A"/>
    <w:rsid w:val="00EB02D8"/>
    <w:rsid w:val="00EB240A"/>
    <w:rsid w:val="00EB2638"/>
    <w:rsid w:val="00EB2AEF"/>
    <w:rsid w:val="00EB3979"/>
    <w:rsid w:val="00EB62CC"/>
    <w:rsid w:val="00EB6F5A"/>
    <w:rsid w:val="00EC3944"/>
    <w:rsid w:val="00EC3E53"/>
    <w:rsid w:val="00EC4927"/>
    <w:rsid w:val="00EC4B06"/>
    <w:rsid w:val="00EC55C6"/>
    <w:rsid w:val="00EC6391"/>
    <w:rsid w:val="00ED08EF"/>
    <w:rsid w:val="00ED1514"/>
    <w:rsid w:val="00ED4423"/>
    <w:rsid w:val="00ED4BA1"/>
    <w:rsid w:val="00ED5C09"/>
    <w:rsid w:val="00ED7320"/>
    <w:rsid w:val="00ED7C14"/>
    <w:rsid w:val="00EE2153"/>
    <w:rsid w:val="00EE21C9"/>
    <w:rsid w:val="00EE3D21"/>
    <w:rsid w:val="00EE6C1E"/>
    <w:rsid w:val="00EF2504"/>
    <w:rsid w:val="00EF2580"/>
    <w:rsid w:val="00EF2B55"/>
    <w:rsid w:val="00EF3CAA"/>
    <w:rsid w:val="00EF449F"/>
    <w:rsid w:val="00EF4ECD"/>
    <w:rsid w:val="00F05EB2"/>
    <w:rsid w:val="00F05FBE"/>
    <w:rsid w:val="00F07DF7"/>
    <w:rsid w:val="00F13056"/>
    <w:rsid w:val="00F16EF0"/>
    <w:rsid w:val="00F23891"/>
    <w:rsid w:val="00F262CB"/>
    <w:rsid w:val="00F31C35"/>
    <w:rsid w:val="00F31F69"/>
    <w:rsid w:val="00F32164"/>
    <w:rsid w:val="00F35ED0"/>
    <w:rsid w:val="00F400A0"/>
    <w:rsid w:val="00F4064C"/>
    <w:rsid w:val="00F40DD2"/>
    <w:rsid w:val="00F4203F"/>
    <w:rsid w:val="00F45C1F"/>
    <w:rsid w:val="00F5160B"/>
    <w:rsid w:val="00F53185"/>
    <w:rsid w:val="00F53609"/>
    <w:rsid w:val="00F66388"/>
    <w:rsid w:val="00F67F7F"/>
    <w:rsid w:val="00F71C86"/>
    <w:rsid w:val="00F7215A"/>
    <w:rsid w:val="00F75492"/>
    <w:rsid w:val="00F77F0D"/>
    <w:rsid w:val="00F85B58"/>
    <w:rsid w:val="00F86E78"/>
    <w:rsid w:val="00F94211"/>
    <w:rsid w:val="00F978FE"/>
    <w:rsid w:val="00F97C04"/>
    <w:rsid w:val="00FA3304"/>
    <w:rsid w:val="00FA6C7C"/>
    <w:rsid w:val="00FB0839"/>
    <w:rsid w:val="00FB0CAB"/>
    <w:rsid w:val="00FB0DC2"/>
    <w:rsid w:val="00FB4C05"/>
    <w:rsid w:val="00FB6E7A"/>
    <w:rsid w:val="00FB77A3"/>
    <w:rsid w:val="00FC043D"/>
    <w:rsid w:val="00FC0793"/>
    <w:rsid w:val="00FD5551"/>
    <w:rsid w:val="00FD57C2"/>
    <w:rsid w:val="00FD6E22"/>
    <w:rsid w:val="00FE0B50"/>
    <w:rsid w:val="00FE21AF"/>
    <w:rsid w:val="00FE3830"/>
    <w:rsid w:val="00FE5C80"/>
    <w:rsid w:val="00FE7F29"/>
    <w:rsid w:val="00FF456C"/>
    <w:rsid w:val="00FF4C69"/>
    <w:rsid w:val="01900C80"/>
    <w:rsid w:val="23EA7A45"/>
    <w:rsid w:val="271C03BA"/>
    <w:rsid w:val="478F534B"/>
    <w:rsid w:val="47CA3AFD"/>
    <w:rsid w:val="4ABD481B"/>
    <w:rsid w:val="6219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link w:val="105"/>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lang w:val="zh-CN"/>
    </w:rPr>
  </w:style>
  <w:style w:type="paragraph" w:styleId="4">
    <w:name w:val="Normal Indent"/>
    <w:basedOn w:val="1"/>
    <w:qFormat/>
    <w:uiPriority w:val="0"/>
    <w:pPr>
      <w:ind w:firstLine="420"/>
    </w:pPr>
    <w:rPr>
      <w:rFonts w:eastAsia="仿宋_GB2312"/>
      <w:sz w:val="32"/>
    </w:rPr>
  </w:style>
  <w:style w:type="paragraph" w:styleId="5">
    <w:name w:val="Body Text"/>
    <w:basedOn w:val="1"/>
    <w:link w:val="102"/>
    <w:semiHidden/>
    <w:unhideWhenUsed/>
    <w:qFormat/>
    <w:uiPriority w:val="99"/>
    <w:pPr>
      <w:spacing w:after="120"/>
    </w:pPr>
  </w:style>
  <w:style w:type="paragraph" w:styleId="6">
    <w:name w:val="Plain Text"/>
    <w:basedOn w:val="1"/>
    <w:next w:val="1"/>
    <w:link w:val="23"/>
    <w:unhideWhenUsed/>
    <w:qFormat/>
    <w:uiPriority w:val="99"/>
    <w:rPr>
      <w:rFonts w:ascii="宋体" w:hAnsi="Courier New" w:cs="Courier New"/>
      <w:szCs w:val="21"/>
    </w:rPr>
  </w:style>
  <w:style w:type="paragraph" w:styleId="7">
    <w:name w:val="Date"/>
    <w:basedOn w:val="1"/>
    <w:next w:val="1"/>
    <w:link w:val="28"/>
    <w:qFormat/>
    <w:uiPriority w:val="0"/>
    <w:pPr>
      <w:adjustRightInd w:val="0"/>
      <w:spacing w:line="312" w:lineRule="atLeast"/>
      <w:textAlignment w:val="baseline"/>
    </w:pPr>
    <w:rPr>
      <w:rFonts w:ascii="仿宋_GB2312" w:eastAsia="仿宋_GB2312"/>
      <w:kern w:val="0"/>
      <w:sz w:val="28"/>
    </w:rPr>
  </w:style>
  <w:style w:type="paragraph" w:styleId="8">
    <w:name w:val="Body Text Indent 2"/>
    <w:basedOn w:val="1"/>
    <w:link w:val="25"/>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9">
    <w:name w:val="Balloon Text"/>
    <w:basedOn w:val="1"/>
    <w:link w:val="104"/>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106"/>
    <w:qFormat/>
    <w:uiPriority w:val="0"/>
    <w:pPr>
      <w:spacing w:after="120" w:line="480" w:lineRule="auto"/>
    </w:pPr>
    <w:rPr>
      <w:szCs w:val="24"/>
    </w:rPr>
  </w:style>
  <w:style w:type="paragraph" w:styleId="13">
    <w:name w:val="HTML Preformatted"/>
    <w:basedOn w:val="1"/>
    <w:link w:val="22"/>
    <w:unhideWhenUsed/>
    <w:qFormat/>
    <w:uiPriority w:val="99"/>
    <w:rPr>
      <w:rFonts w:ascii="Courier New" w:hAnsi="Courier New" w:cs="Courier New" w:eastAsiaTheme="minorEastAsia"/>
      <w:szCs w:val="22"/>
    </w:rPr>
  </w:style>
  <w:style w:type="paragraph" w:styleId="14">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character" w:styleId="17">
    <w:name w:val="Strong"/>
    <w:basedOn w:val="16"/>
    <w:qFormat/>
    <w:uiPriority w:val="0"/>
    <w:rPr>
      <w:b/>
      <w:bCs/>
    </w:rPr>
  </w:style>
  <w:style w:type="character" w:styleId="18">
    <w:name w:val="FollowedHyperlink"/>
    <w:basedOn w:val="16"/>
    <w:semiHidden/>
    <w:unhideWhenUsed/>
    <w:qFormat/>
    <w:uiPriority w:val="99"/>
    <w:rPr>
      <w:color w:val="800080"/>
      <w:u w:val="single"/>
    </w:rPr>
  </w:style>
  <w:style w:type="character" w:styleId="19">
    <w:name w:val="Hyperlink"/>
    <w:basedOn w:val="16"/>
    <w:semiHidden/>
    <w:unhideWhenUsed/>
    <w:qFormat/>
    <w:uiPriority w:val="99"/>
    <w:rPr>
      <w:color w:val="0000FF"/>
      <w:u w:val="single"/>
    </w:rPr>
  </w:style>
  <w:style w:type="character" w:customStyle="1" w:styleId="20">
    <w:name w:val="页眉 Char"/>
    <w:basedOn w:val="16"/>
    <w:link w:val="11"/>
    <w:qFormat/>
    <w:uiPriority w:val="99"/>
    <w:rPr>
      <w:sz w:val="18"/>
      <w:szCs w:val="18"/>
    </w:rPr>
  </w:style>
  <w:style w:type="character" w:customStyle="1" w:styleId="21">
    <w:name w:val="页脚 Char"/>
    <w:basedOn w:val="16"/>
    <w:link w:val="10"/>
    <w:qFormat/>
    <w:uiPriority w:val="99"/>
    <w:rPr>
      <w:sz w:val="18"/>
      <w:szCs w:val="18"/>
    </w:rPr>
  </w:style>
  <w:style w:type="character" w:customStyle="1" w:styleId="22">
    <w:name w:val="HTML 预设格式 Char"/>
    <w:link w:val="13"/>
    <w:qFormat/>
    <w:uiPriority w:val="99"/>
    <w:rPr>
      <w:rFonts w:ascii="Courier New" w:hAnsi="Courier New" w:cs="Courier New"/>
    </w:rPr>
  </w:style>
  <w:style w:type="character" w:customStyle="1" w:styleId="23">
    <w:name w:val="纯文本 Char"/>
    <w:basedOn w:val="16"/>
    <w:link w:val="6"/>
    <w:qFormat/>
    <w:uiPriority w:val="0"/>
    <w:rPr>
      <w:rFonts w:ascii="宋体" w:hAnsi="Courier New" w:eastAsia="宋体" w:cs="Courier New"/>
      <w:szCs w:val="21"/>
    </w:rPr>
  </w:style>
  <w:style w:type="character" w:customStyle="1" w:styleId="24">
    <w:name w:val="HTML 预设格式 Char1"/>
    <w:basedOn w:val="16"/>
    <w:semiHidden/>
    <w:qFormat/>
    <w:uiPriority w:val="99"/>
    <w:rPr>
      <w:rFonts w:ascii="Courier New" w:hAnsi="Courier New" w:eastAsia="宋体" w:cs="Courier New"/>
      <w:sz w:val="20"/>
      <w:szCs w:val="20"/>
    </w:rPr>
  </w:style>
  <w:style w:type="character" w:customStyle="1" w:styleId="25">
    <w:name w:val="正文文本缩进 2 Char"/>
    <w:basedOn w:val="16"/>
    <w:link w:val="8"/>
    <w:semiHidden/>
    <w:qFormat/>
    <w:uiPriority w:val="0"/>
    <w:rPr>
      <w:rFonts w:ascii="仿宋_GB2312" w:hAnsi="Times New Roman" w:eastAsia="仿宋_GB2312" w:cs="Times New Roman"/>
      <w:kern w:val="0"/>
      <w:sz w:val="28"/>
      <w:szCs w:val="20"/>
    </w:rPr>
  </w:style>
  <w:style w:type="paragraph" w:styleId="26">
    <w:name w:val="List Paragraph"/>
    <w:basedOn w:val="1"/>
    <w:qFormat/>
    <w:uiPriority w:val="34"/>
    <w:pPr>
      <w:ind w:firstLine="420" w:firstLineChars="200"/>
    </w:pPr>
  </w:style>
  <w:style w:type="character" w:customStyle="1" w:styleId="27">
    <w:name w:val="tpc_content1"/>
    <w:basedOn w:val="16"/>
    <w:qFormat/>
    <w:uiPriority w:val="0"/>
    <w:rPr>
      <w:sz w:val="20"/>
      <w:szCs w:val="20"/>
    </w:rPr>
  </w:style>
  <w:style w:type="character" w:customStyle="1" w:styleId="28">
    <w:name w:val="日期 Char"/>
    <w:basedOn w:val="16"/>
    <w:link w:val="7"/>
    <w:semiHidden/>
    <w:qFormat/>
    <w:uiPriority w:val="0"/>
    <w:rPr>
      <w:rFonts w:ascii="仿宋_GB2312" w:hAnsi="Times New Roman" w:eastAsia="仿宋_GB2312" w:cs="Times New Roman"/>
      <w:kern w:val="0"/>
      <w:sz w:val="28"/>
      <w:szCs w:val="20"/>
    </w:rPr>
  </w:style>
  <w:style w:type="paragraph" w:customStyle="1" w:styleId="2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font7"/>
    <w:basedOn w:val="1"/>
    <w:qFormat/>
    <w:uiPriority w:val="0"/>
    <w:pPr>
      <w:widowControl/>
      <w:spacing w:before="100" w:beforeAutospacing="1" w:after="100" w:afterAutospacing="1"/>
      <w:jc w:val="left"/>
    </w:pPr>
    <w:rPr>
      <w:color w:val="000000"/>
      <w:kern w:val="0"/>
      <w:sz w:val="24"/>
      <w:szCs w:val="24"/>
    </w:rPr>
  </w:style>
  <w:style w:type="paragraph" w:customStyle="1" w:styleId="32">
    <w:name w:val="font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3">
    <w:name w:val="font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font10"/>
    <w:basedOn w:val="1"/>
    <w:qFormat/>
    <w:uiPriority w:val="0"/>
    <w:pPr>
      <w:widowControl/>
      <w:spacing w:before="100" w:beforeAutospacing="1" w:after="100" w:afterAutospacing="1"/>
      <w:jc w:val="left"/>
    </w:pPr>
    <w:rPr>
      <w:kern w:val="0"/>
      <w:sz w:val="24"/>
      <w:szCs w:val="24"/>
    </w:rPr>
  </w:style>
  <w:style w:type="paragraph" w:customStyle="1" w:styleId="3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3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4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4"/>
      <w:szCs w:val="24"/>
    </w:rPr>
  </w:style>
  <w:style w:type="paragraph" w:customStyle="1" w:styleId="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8">
    <w:name w:val="xl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0">
    <w:name w:val="xl79"/>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3">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5">
    <w:name w:val="xl84"/>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6">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6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63">
    <w:name w:val="xl92"/>
    <w:basedOn w:val="1"/>
    <w:qFormat/>
    <w:uiPriority w:val="0"/>
    <w:pPr>
      <w:widowControl/>
      <w:spacing w:before="100" w:beforeAutospacing="1" w:after="100" w:afterAutospacing="1"/>
      <w:jc w:val="left"/>
      <w:textAlignment w:val="bottom"/>
    </w:pPr>
    <w:rPr>
      <w:kern w:val="0"/>
      <w:sz w:val="24"/>
      <w:szCs w:val="24"/>
    </w:rPr>
  </w:style>
  <w:style w:type="paragraph" w:customStyle="1" w:styleId="6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
    <w:name w:val="xl97"/>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69">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1">
    <w:name w:val="xl10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2">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szCs w:val="24"/>
    </w:rPr>
  </w:style>
  <w:style w:type="paragraph" w:customStyle="1" w:styleId="7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4">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6">
    <w:name w:val="xl105"/>
    <w:basedOn w:val="1"/>
    <w:qFormat/>
    <w:uiPriority w:val="0"/>
    <w:pPr>
      <w:widowControl/>
      <w:pBdr>
        <w:left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7">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8">
    <w:name w:val="xl10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9">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0">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1">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2">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3">
    <w:name w:val="xl11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4">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6">
    <w:name w:val="xl11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7">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89">
    <w:name w:val="xl118"/>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0">
    <w:name w:val="xl11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3">
    <w:name w:val="xl122"/>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4">
    <w:name w:val="xl123"/>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cs="Calibri"/>
      <w:kern w:val="0"/>
      <w:szCs w:val="21"/>
    </w:rPr>
  </w:style>
  <w:style w:type="paragraph" w:customStyle="1" w:styleId="9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9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8">
    <w:name w:val="xl12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9">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character" w:customStyle="1" w:styleId="100">
    <w:name w:val="纯文本 Char1"/>
    <w:qFormat/>
    <w:uiPriority w:val="0"/>
    <w:rPr>
      <w:rFonts w:ascii="宋体" w:hAnsi="Courier New" w:eastAsia="宋体"/>
      <w:kern w:val="2"/>
      <w:sz w:val="24"/>
      <w:szCs w:val="24"/>
      <w:lang w:val="en-US" w:eastAsia="zh-CN" w:bidi="ar-SA"/>
    </w:rPr>
  </w:style>
  <w:style w:type="paragraph" w:customStyle="1" w:styleId="101">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02">
    <w:name w:val="正文文本 Char"/>
    <w:basedOn w:val="16"/>
    <w:link w:val="5"/>
    <w:semiHidden/>
    <w:qFormat/>
    <w:uiPriority w:val="99"/>
    <w:rPr>
      <w:rFonts w:ascii="Times New Roman" w:hAnsi="Times New Roman" w:eastAsia="宋体" w:cs="Times New Roman"/>
      <w:szCs w:val="20"/>
    </w:rPr>
  </w:style>
  <w:style w:type="paragraph" w:customStyle="1" w:styleId="103">
    <w:name w:val="默认段落字体 Para Char Char Char Char Char Char Char Char Char1 Char Char Char Char"/>
    <w:basedOn w:val="1"/>
    <w:qFormat/>
    <w:uiPriority w:val="0"/>
    <w:rPr>
      <w:rFonts w:ascii="Tahoma" w:hAnsi="Tahoma"/>
      <w:sz w:val="24"/>
    </w:rPr>
  </w:style>
  <w:style w:type="character" w:customStyle="1" w:styleId="104">
    <w:name w:val="批注框文本 Char"/>
    <w:basedOn w:val="16"/>
    <w:link w:val="9"/>
    <w:semiHidden/>
    <w:qFormat/>
    <w:uiPriority w:val="99"/>
    <w:rPr>
      <w:rFonts w:ascii="Times New Roman" w:hAnsi="Times New Roman" w:eastAsia="宋体" w:cs="Times New Roman"/>
      <w:sz w:val="18"/>
      <w:szCs w:val="18"/>
    </w:rPr>
  </w:style>
  <w:style w:type="character" w:customStyle="1" w:styleId="105">
    <w:name w:val="标题 2 Char"/>
    <w:basedOn w:val="16"/>
    <w:link w:val="3"/>
    <w:qFormat/>
    <w:uiPriority w:val="0"/>
    <w:rPr>
      <w:rFonts w:ascii="Arial" w:hAnsi="Arial" w:eastAsia="黑体" w:cs="Times New Roman"/>
      <w:b/>
      <w:bCs/>
      <w:sz w:val="32"/>
      <w:szCs w:val="32"/>
    </w:rPr>
  </w:style>
  <w:style w:type="character" w:customStyle="1" w:styleId="106">
    <w:name w:val="正文文本 2 Char"/>
    <w:basedOn w:val="16"/>
    <w:link w:val="12"/>
    <w:qFormat/>
    <w:uiPriority w:val="0"/>
    <w:rPr>
      <w:rFonts w:ascii="Times New Roman" w:hAnsi="Times New Roman" w:eastAsia="宋体" w:cs="Times New Roman"/>
      <w:szCs w:val="24"/>
    </w:rPr>
  </w:style>
  <w:style w:type="character" w:customStyle="1" w:styleId="107">
    <w:name w:val="纯文本 Char2"/>
    <w:qFormat/>
    <w:uiPriority w:val="99"/>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65C4BE-20CE-468A-84FC-0B079175249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1555</Words>
  <Characters>8868</Characters>
  <Lines>73</Lines>
  <Paragraphs>20</Paragraphs>
  <TotalTime>4</TotalTime>
  <ScaleCrop>false</ScaleCrop>
  <LinksUpToDate>false</LinksUpToDate>
  <CharactersWithSpaces>10403</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2021-05-11T09:01:00Z</dcterms:created>
  <dc:creator>lenovo</dc:creator>
  <cp:lastModifiedBy>杜杜</cp:lastModifiedBy>
  <cp:lastPrinted>2015-07-08T07:44:00Z</cp:lastPrinted>
  <dcterms:modified xsi:type="dcterms:W3CDTF">2021-05-19T03:04:25Z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3804EF9392DF4E3FAFEDA4DC11F06972</vt:lpwstr>
  </property>
</Properties>
</file>